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F11EA" w:rsidRPr="002F11EA" w:rsidTr="00F559E2">
        <w:trPr>
          <w:trHeight w:val="1486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2F11EA" w:rsidRPr="002F11EA" w:rsidRDefault="002F11EA" w:rsidP="002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F11EA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2F11EA" w:rsidRPr="002F11EA" w:rsidRDefault="002F11EA" w:rsidP="002F11EA">
            <w:pPr>
              <w:tabs>
                <w:tab w:val="left" w:pos="-1728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:rsidR="002F11EA" w:rsidRPr="002F11EA" w:rsidRDefault="002F11EA" w:rsidP="002F11EA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2F11EA" w:rsidRPr="002F11EA" w:rsidRDefault="002F11EA" w:rsidP="002F11EA">
            <w:pPr>
              <w:tabs>
                <w:tab w:val="left" w:pos="81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«Пензенский государственный университет»</w:t>
            </w:r>
          </w:p>
          <w:p w:rsidR="002F11EA" w:rsidRPr="002F11EA" w:rsidRDefault="002F11EA" w:rsidP="002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11EA">
              <w:rPr>
                <w:rFonts w:ascii="Times New Roman" w:hAnsi="Times New Roman"/>
                <w:b/>
                <w:sz w:val="24"/>
              </w:rPr>
              <w:t>(ФГБОУ ВО «ПГУ»)</w:t>
            </w:r>
          </w:p>
        </w:tc>
      </w:tr>
    </w:tbl>
    <w:p w:rsidR="002F11EA" w:rsidRPr="002F11EA" w:rsidRDefault="002F11EA" w:rsidP="002F11EA">
      <w:pPr>
        <w:tabs>
          <w:tab w:val="left" w:pos="255"/>
          <w:tab w:val="center" w:pos="51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2F11EA" w:rsidRPr="002F11EA" w:rsidTr="00F559E2">
        <w:trPr>
          <w:jc w:val="center"/>
        </w:trPr>
        <w:tc>
          <w:tcPr>
            <w:tcW w:w="7391" w:type="dxa"/>
          </w:tcPr>
          <w:p w:rsidR="002F11EA" w:rsidRPr="002F11EA" w:rsidRDefault="002F11EA" w:rsidP="002F11EA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2F11EA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2F11EA" w:rsidRPr="002F11EA" w:rsidRDefault="002F11EA" w:rsidP="002F11EA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Ученого совета университета</w:t>
            </w:r>
          </w:p>
        </w:tc>
      </w:tr>
    </w:tbl>
    <w:p w:rsidR="002F11EA" w:rsidRPr="002F11EA" w:rsidRDefault="002F11EA" w:rsidP="002F11EA">
      <w:pPr>
        <w:tabs>
          <w:tab w:val="left" w:pos="-4962"/>
          <w:tab w:val="left" w:pos="-4820"/>
          <w:tab w:val="left" w:pos="28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2F11EA" w:rsidRPr="002F11EA" w:rsidTr="00F559E2">
        <w:tc>
          <w:tcPr>
            <w:tcW w:w="1701" w:type="dxa"/>
            <w:tcBorders>
              <w:bottom w:val="single" w:sz="4" w:space="0" w:color="auto"/>
            </w:tcBorders>
          </w:tcPr>
          <w:p w:rsidR="002F11EA" w:rsidRPr="00CA1F47" w:rsidRDefault="002F11EA" w:rsidP="002F11EA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F47">
              <w:rPr>
                <w:rFonts w:ascii="Times New Roman" w:hAnsi="Times New Roman"/>
                <w:sz w:val="28"/>
                <w:szCs w:val="28"/>
              </w:rPr>
              <w:t>31.10.20</w:t>
            </w:r>
            <w:r w:rsidR="005B134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left w:val="nil"/>
            </w:tcBorders>
          </w:tcPr>
          <w:p w:rsidR="002F11EA" w:rsidRPr="00CA1F47" w:rsidRDefault="002F11EA" w:rsidP="002F11EA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11EA" w:rsidRPr="002F11EA" w:rsidRDefault="002F11EA" w:rsidP="002F11EA">
            <w:pPr>
              <w:tabs>
                <w:tab w:val="left" w:pos="9638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2F11EA" w:rsidRPr="00860642" w:rsidRDefault="002F11EA" w:rsidP="00860642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6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60642" w:rsidRPr="008606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F11EA" w:rsidRDefault="002F11EA" w:rsidP="002F11EA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1EA" w:rsidRPr="00F958D8" w:rsidRDefault="002F11EA" w:rsidP="002F11EA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958D8">
        <w:rPr>
          <w:rFonts w:ascii="Times New Roman" w:hAnsi="Times New Roman"/>
          <w:sz w:val="28"/>
          <w:szCs w:val="28"/>
        </w:rPr>
        <w:t>Заслушав и обсудив отчет заведующего</w:t>
      </w:r>
      <w:r w:rsidRPr="002F11EA">
        <w:rPr>
          <w:rFonts w:ascii="Times New Roman" w:hAnsi="Times New Roman"/>
          <w:sz w:val="28"/>
          <w:szCs w:val="28"/>
        </w:rPr>
        <w:t xml:space="preserve"> кафедрой </w:t>
      </w:r>
      <w:r w:rsidRPr="00F958D8">
        <w:rPr>
          <w:rFonts w:ascii="Times New Roman" w:hAnsi="Times New Roman"/>
          <w:sz w:val="28"/>
          <w:szCs w:val="28"/>
        </w:rPr>
        <w:t>А.Н. Иванова</w:t>
      </w:r>
      <w:r w:rsidRPr="002F11EA">
        <w:rPr>
          <w:rFonts w:ascii="Times New Roman" w:hAnsi="Times New Roman"/>
          <w:sz w:val="28"/>
          <w:szCs w:val="28"/>
        </w:rPr>
        <w:t xml:space="preserve"> о работе кафедры «</w:t>
      </w:r>
      <w:r w:rsidRPr="00F958D8">
        <w:rPr>
          <w:rFonts w:ascii="Times New Roman" w:hAnsi="Times New Roman"/>
          <w:sz w:val="28"/>
          <w:szCs w:val="28"/>
        </w:rPr>
        <w:t>Циклические виды спорта</w:t>
      </w:r>
      <w:r w:rsidR="005B1345">
        <w:rPr>
          <w:rFonts w:ascii="Times New Roman" w:hAnsi="Times New Roman"/>
          <w:sz w:val="28"/>
          <w:szCs w:val="28"/>
        </w:rPr>
        <w:t>» за 2020-2024</w:t>
      </w:r>
      <w:r w:rsidRPr="002F11EA">
        <w:rPr>
          <w:rFonts w:ascii="Times New Roman" w:hAnsi="Times New Roman"/>
          <w:sz w:val="28"/>
          <w:szCs w:val="28"/>
        </w:rPr>
        <w:t xml:space="preserve"> гг., Ученый Совет ПГУ отмечает: </w:t>
      </w:r>
    </w:p>
    <w:p w:rsidR="002F11EA" w:rsidRPr="005B1345" w:rsidRDefault="002F11EA" w:rsidP="002F11EA">
      <w:pPr>
        <w:pStyle w:val="a3"/>
        <w:numPr>
          <w:ilvl w:val="0"/>
          <w:numId w:val="1"/>
        </w:numPr>
        <w:tabs>
          <w:tab w:val="left" w:pos="952"/>
        </w:tabs>
        <w:spacing w:after="0" w:line="240" w:lineRule="auto"/>
        <w:ind w:left="0" w:firstLine="953"/>
        <w:jc w:val="both"/>
        <w:rPr>
          <w:sz w:val="28"/>
          <w:szCs w:val="28"/>
        </w:rPr>
      </w:pPr>
      <w:proofErr w:type="gramStart"/>
      <w:r w:rsidRPr="005B1345">
        <w:rPr>
          <w:sz w:val="28"/>
          <w:szCs w:val="28"/>
        </w:rPr>
        <w:t xml:space="preserve">Кафедра «Циклические виды спорта» располагает достаточным кадровым потенциалом, учебно-методической и материально-технической базами для подготовки высококвалифицированных специалистов по следующим </w:t>
      </w:r>
      <w:r w:rsidR="005B1345" w:rsidRPr="005B1345">
        <w:rPr>
          <w:sz w:val="28"/>
          <w:szCs w:val="28"/>
        </w:rPr>
        <w:t xml:space="preserve"> </w:t>
      </w:r>
      <w:r w:rsidRPr="005B1345">
        <w:rPr>
          <w:sz w:val="28"/>
          <w:szCs w:val="28"/>
        </w:rPr>
        <w:t xml:space="preserve">программам высшего образования - программам бакалавриата </w:t>
      </w:r>
      <w:r w:rsidR="00517E03">
        <w:rPr>
          <w:sz w:val="28"/>
          <w:szCs w:val="28"/>
        </w:rPr>
        <w:t xml:space="preserve"> по </w:t>
      </w:r>
      <w:r w:rsidRPr="005B1345">
        <w:rPr>
          <w:sz w:val="28"/>
          <w:szCs w:val="28"/>
        </w:rPr>
        <w:t>направлениям подготовок 49.03.01 Физическая культура, профиль «Спортивная тренир</w:t>
      </w:r>
      <w:r w:rsidR="005B1345" w:rsidRPr="005B1345">
        <w:rPr>
          <w:sz w:val="28"/>
          <w:szCs w:val="28"/>
        </w:rPr>
        <w:t xml:space="preserve">овка в избранном виде спорта», </w:t>
      </w:r>
      <w:r w:rsidRPr="005B1345">
        <w:rPr>
          <w:sz w:val="28"/>
          <w:szCs w:val="28"/>
        </w:rPr>
        <w:t>49.03.02 Физическая культура для лиц с отклонениями в состоянии здоровья (адаптивная физическая культура), профиль «Физическая реабилитация»</w:t>
      </w:r>
      <w:r w:rsidR="00BF7985">
        <w:rPr>
          <w:sz w:val="28"/>
          <w:szCs w:val="28"/>
        </w:rPr>
        <w:t>,   по программам    магистратуры</w:t>
      </w:r>
      <w:r w:rsidR="005B1345" w:rsidRPr="005B1345">
        <w:rPr>
          <w:sz w:val="28"/>
          <w:szCs w:val="28"/>
        </w:rPr>
        <w:t xml:space="preserve"> </w:t>
      </w:r>
      <w:r w:rsidR="00BF7985">
        <w:rPr>
          <w:sz w:val="28"/>
          <w:szCs w:val="28"/>
        </w:rPr>
        <w:t>направления</w:t>
      </w:r>
      <w:r w:rsidR="005B1345">
        <w:rPr>
          <w:sz w:val="28"/>
          <w:szCs w:val="28"/>
        </w:rPr>
        <w:t xml:space="preserve"> подготовки </w:t>
      </w:r>
      <w:r w:rsidR="005B1345" w:rsidRPr="005B1345">
        <w:rPr>
          <w:sz w:val="28"/>
          <w:szCs w:val="28"/>
        </w:rPr>
        <w:t>49.04.01 Физическая культура</w:t>
      </w:r>
      <w:proofErr w:type="gramEnd"/>
      <w:r w:rsidR="005B1345">
        <w:rPr>
          <w:sz w:val="28"/>
          <w:szCs w:val="28"/>
        </w:rPr>
        <w:t>,</w:t>
      </w:r>
      <w:r w:rsidR="005B1345" w:rsidRPr="005B1345">
        <w:rPr>
          <w:sz w:val="28"/>
          <w:szCs w:val="28"/>
        </w:rPr>
        <w:t xml:space="preserve"> </w:t>
      </w:r>
      <w:r w:rsidR="005B1345">
        <w:rPr>
          <w:sz w:val="28"/>
          <w:szCs w:val="28"/>
        </w:rPr>
        <w:t xml:space="preserve">профиль </w:t>
      </w:r>
      <w:r w:rsidR="005B1345" w:rsidRPr="005B1345">
        <w:rPr>
          <w:rFonts w:cs="Times New Roman"/>
          <w:sz w:val="28"/>
          <w:szCs w:val="28"/>
        </w:rPr>
        <w:t>«Подготовка спортсменов на тренировочном этапе и этапах совершенство</w:t>
      </w:r>
      <w:r w:rsidR="00BF7985">
        <w:rPr>
          <w:rFonts w:cs="Times New Roman"/>
          <w:sz w:val="28"/>
          <w:szCs w:val="28"/>
        </w:rPr>
        <w:t xml:space="preserve">вания спортивного мастерства», </w:t>
      </w:r>
      <w:r w:rsidR="005B1345" w:rsidRPr="005B1345">
        <w:rPr>
          <w:rFonts w:eastAsia="Calibri" w:cs="Times New Roman"/>
          <w:sz w:val="28"/>
          <w:szCs w:val="28"/>
        </w:rPr>
        <w:t xml:space="preserve">по </w:t>
      </w:r>
      <w:r w:rsidR="00BF7985">
        <w:rPr>
          <w:rFonts w:eastAsia="Calibri" w:cs="Times New Roman"/>
          <w:sz w:val="28"/>
          <w:szCs w:val="28"/>
        </w:rPr>
        <w:t xml:space="preserve">программам </w:t>
      </w:r>
      <w:r w:rsidR="00BF7985">
        <w:rPr>
          <w:rFonts w:cs="Times New Roman"/>
          <w:sz w:val="28"/>
          <w:szCs w:val="28"/>
        </w:rPr>
        <w:t xml:space="preserve">аспирантуры </w:t>
      </w:r>
      <w:r w:rsidR="00BF7985" w:rsidRPr="005B1345">
        <w:rPr>
          <w:rFonts w:eastAsia="Calibri" w:cs="Times New Roman"/>
          <w:sz w:val="28"/>
          <w:szCs w:val="28"/>
        </w:rPr>
        <w:t xml:space="preserve"> </w:t>
      </w:r>
      <w:r w:rsidR="00BF7985">
        <w:rPr>
          <w:rFonts w:eastAsia="Calibri" w:cs="Times New Roman"/>
          <w:sz w:val="28"/>
          <w:szCs w:val="28"/>
        </w:rPr>
        <w:t>направления</w:t>
      </w:r>
      <w:r w:rsidR="005B1345" w:rsidRPr="005B1345">
        <w:rPr>
          <w:rFonts w:eastAsia="Calibri" w:cs="Times New Roman"/>
          <w:sz w:val="28"/>
          <w:szCs w:val="28"/>
        </w:rPr>
        <w:t xml:space="preserve"> подготовки 5.8.5 «Теория и методика спорта»</w:t>
      </w:r>
      <w:r w:rsidRPr="005B1345">
        <w:rPr>
          <w:sz w:val="28"/>
          <w:szCs w:val="28"/>
        </w:rPr>
        <w:t>.</w:t>
      </w:r>
    </w:p>
    <w:p w:rsidR="006D3172" w:rsidRPr="00455495" w:rsidRDefault="00673A7E" w:rsidP="00673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34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54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F11EA" w:rsidRPr="00455495">
        <w:rPr>
          <w:rFonts w:ascii="Times New Roman" w:hAnsi="Times New Roman" w:cs="Times New Roman"/>
          <w:sz w:val="28"/>
          <w:szCs w:val="28"/>
        </w:rPr>
        <w:t>На кафед</w:t>
      </w:r>
      <w:r w:rsidR="005B1345" w:rsidRPr="00455495">
        <w:rPr>
          <w:rFonts w:ascii="Times New Roman" w:hAnsi="Times New Roman" w:cs="Times New Roman"/>
          <w:sz w:val="28"/>
          <w:szCs w:val="28"/>
        </w:rPr>
        <w:t>ре по состо</w:t>
      </w:r>
      <w:r w:rsidR="00455495">
        <w:rPr>
          <w:rFonts w:ascii="Times New Roman" w:hAnsi="Times New Roman" w:cs="Times New Roman"/>
          <w:sz w:val="28"/>
          <w:szCs w:val="28"/>
        </w:rPr>
        <w:t>янию на сентябрь 2024 г. работаю</w:t>
      </w:r>
      <w:r w:rsidR="002F11EA" w:rsidRPr="00455495">
        <w:rPr>
          <w:rFonts w:ascii="Times New Roman" w:hAnsi="Times New Roman" w:cs="Times New Roman"/>
          <w:sz w:val="28"/>
          <w:szCs w:val="28"/>
        </w:rPr>
        <w:t xml:space="preserve">т </w:t>
      </w:r>
      <w:r w:rsidR="005B1345" w:rsidRPr="00455495">
        <w:rPr>
          <w:rFonts w:ascii="Times New Roman" w:hAnsi="Times New Roman" w:cs="Times New Roman"/>
          <w:sz w:val="28"/>
          <w:szCs w:val="28"/>
        </w:rPr>
        <w:t>8</w:t>
      </w:r>
      <w:r w:rsidR="00455495" w:rsidRPr="00455495">
        <w:rPr>
          <w:rFonts w:ascii="Times New Roman" w:hAnsi="Times New Roman" w:cs="Times New Roman"/>
          <w:sz w:val="28"/>
          <w:szCs w:val="28"/>
        </w:rPr>
        <w:t xml:space="preserve"> штатных </w:t>
      </w:r>
      <w:r w:rsidR="00455495">
        <w:rPr>
          <w:rFonts w:ascii="Times New Roman" w:hAnsi="Times New Roman" w:cs="Times New Roman"/>
          <w:sz w:val="28"/>
          <w:szCs w:val="28"/>
        </w:rPr>
        <w:t xml:space="preserve"> </w:t>
      </w:r>
      <w:r w:rsidR="00455495" w:rsidRPr="00455495">
        <w:rPr>
          <w:rFonts w:ascii="Times New Roman" w:hAnsi="Times New Roman" w:cs="Times New Roman"/>
          <w:sz w:val="28"/>
          <w:szCs w:val="28"/>
        </w:rPr>
        <w:t>преподавателей,</w:t>
      </w:r>
      <w:r w:rsidR="002F11EA" w:rsidRPr="00455495">
        <w:rPr>
          <w:rFonts w:ascii="Times New Roman" w:hAnsi="Times New Roman" w:cs="Times New Roman"/>
          <w:sz w:val="28"/>
          <w:szCs w:val="28"/>
        </w:rPr>
        <w:t xml:space="preserve"> </w:t>
      </w:r>
      <w:r w:rsidRPr="00455495">
        <w:rPr>
          <w:rFonts w:ascii="Times New Roman" w:hAnsi="Times New Roman" w:cs="Times New Roman"/>
          <w:color w:val="000000"/>
          <w:sz w:val="28"/>
          <w:szCs w:val="28"/>
        </w:rPr>
        <w:t>85,</w:t>
      </w:r>
      <w:r w:rsidR="005B1345" w:rsidRPr="0045549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F11EA" w:rsidRPr="00455495">
        <w:rPr>
          <w:rFonts w:ascii="Times New Roman" w:hAnsi="Times New Roman" w:cs="Times New Roman"/>
          <w:color w:val="000000"/>
          <w:sz w:val="28"/>
          <w:szCs w:val="28"/>
        </w:rPr>
        <w:t>% профессорско-преподавательского состава кафедры име</w:t>
      </w:r>
      <w:r w:rsidRPr="00455495">
        <w:rPr>
          <w:rFonts w:ascii="Times New Roman" w:hAnsi="Times New Roman" w:cs="Times New Roman"/>
          <w:color w:val="000000"/>
          <w:sz w:val="28"/>
          <w:szCs w:val="28"/>
        </w:rPr>
        <w:t>ют ученые степени и звания</w:t>
      </w:r>
      <w:r w:rsidR="00A64ACF" w:rsidRPr="004554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55495" w:rsidRPr="00455495">
        <w:rPr>
          <w:rFonts w:ascii="Times New Roman" w:hAnsi="Times New Roman" w:cs="Times New Roman"/>
          <w:sz w:val="28"/>
          <w:szCs w:val="28"/>
        </w:rPr>
        <w:t xml:space="preserve"> </w:t>
      </w:r>
      <w:r w:rsidR="00455495">
        <w:rPr>
          <w:rFonts w:ascii="Times New Roman" w:hAnsi="Times New Roman" w:cs="Times New Roman"/>
          <w:sz w:val="28"/>
          <w:szCs w:val="28"/>
        </w:rPr>
        <w:t>п</w:t>
      </w:r>
      <w:r w:rsidR="00455495" w:rsidRPr="00455495">
        <w:rPr>
          <w:rFonts w:ascii="Times New Roman" w:hAnsi="Times New Roman" w:cs="Times New Roman"/>
          <w:sz w:val="28"/>
          <w:szCs w:val="28"/>
        </w:rPr>
        <w:t xml:space="preserve">роцент профессоров </w:t>
      </w:r>
      <w:r w:rsidR="00455495" w:rsidRPr="00455495">
        <w:rPr>
          <w:rFonts w:ascii="Times New Roman" w:hAnsi="Times New Roman" w:cs="Times New Roman"/>
          <w:i/>
          <w:sz w:val="28"/>
          <w:szCs w:val="28"/>
        </w:rPr>
        <w:t>(по должности)</w:t>
      </w:r>
      <w:r w:rsidR="00455495" w:rsidRPr="00455495">
        <w:rPr>
          <w:rFonts w:ascii="Times New Roman" w:hAnsi="Times New Roman" w:cs="Times New Roman"/>
          <w:sz w:val="28"/>
          <w:szCs w:val="28"/>
        </w:rPr>
        <w:t xml:space="preserve"> по ставкам</w:t>
      </w:r>
      <w:r w:rsidR="00A64ACF" w:rsidRPr="00455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495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- 14,3%, </w:t>
      </w:r>
      <w:r w:rsidR="00A64ACF" w:rsidRPr="0045549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55495">
        <w:rPr>
          <w:rFonts w:ascii="Times New Roman" w:hAnsi="Times New Roman" w:cs="Times New Roman"/>
          <w:color w:val="000000"/>
          <w:sz w:val="28"/>
          <w:szCs w:val="28"/>
        </w:rPr>
        <w:t xml:space="preserve">ри этом один переведен на должность профессора, </w:t>
      </w:r>
      <w:r w:rsidR="00455495">
        <w:rPr>
          <w:rFonts w:ascii="Times New Roman" w:hAnsi="Times New Roman" w:cs="Times New Roman"/>
          <w:color w:val="000000"/>
          <w:sz w:val="28"/>
          <w:szCs w:val="28"/>
        </w:rPr>
        <w:t xml:space="preserve">один имеет аттестат профессора ВАК, </w:t>
      </w:r>
      <w:r w:rsidRPr="00455495">
        <w:rPr>
          <w:rFonts w:ascii="Times New Roman" w:hAnsi="Times New Roman" w:cs="Times New Roman"/>
          <w:color w:val="000000"/>
          <w:sz w:val="28"/>
          <w:szCs w:val="28"/>
        </w:rPr>
        <w:t>один работает в должности доцента</w:t>
      </w:r>
      <w:r w:rsidR="00A64ACF" w:rsidRPr="004554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5495">
        <w:rPr>
          <w:rFonts w:ascii="Times New Roman" w:hAnsi="Times New Roman" w:cs="Times New Roman"/>
          <w:color w:val="000000"/>
          <w:sz w:val="28"/>
          <w:szCs w:val="28"/>
        </w:rPr>
        <w:t>один имеет аттестат доцента ВАК.</w:t>
      </w:r>
      <w:proofErr w:type="gramEnd"/>
      <w:r w:rsidR="0045549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A64ACF" w:rsidRPr="00455495">
        <w:rPr>
          <w:rFonts w:ascii="Times New Roman" w:hAnsi="Times New Roman" w:cs="Times New Roman"/>
          <w:color w:val="000000"/>
          <w:sz w:val="28"/>
          <w:szCs w:val="28"/>
        </w:rPr>
        <w:t xml:space="preserve">редний возраст </w:t>
      </w:r>
      <w:r w:rsidR="00455495">
        <w:rPr>
          <w:rFonts w:ascii="Times New Roman" w:hAnsi="Times New Roman" w:cs="Times New Roman"/>
          <w:color w:val="000000"/>
          <w:sz w:val="28"/>
          <w:szCs w:val="28"/>
        </w:rPr>
        <w:t>коллектива кафедры составляет 51</w:t>
      </w:r>
      <w:r w:rsidR="00A64ACF" w:rsidRPr="0045549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4554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3A7E" w:rsidRPr="00F958D8" w:rsidRDefault="00673A7E" w:rsidP="00673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D8">
        <w:rPr>
          <w:rFonts w:ascii="Times New Roman" w:hAnsi="Times New Roman" w:cs="Times New Roman"/>
          <w:color w:val="000000"/>
          <w:sz w:val="28"/>
          <w:szCs w:val="28"/>
        </w:rPr>
        <w:t xml:space="preserve">           3. </w:t>
      </w:r>
      <w:r w:rsidRPr="00F958D8">
        <w:rPr>
          <w:rFonts w:ascii="Times New Roman" w:hAnsi="Times New Roman" w:cs="Times New Roman"/>
          <w:sz w:val="28"/>
          <w:szCs w:val="28"/>
        </w:rPr>
        <w:t>Базовое образование всего профессорско-преподавательского состава и научные специальности с учеными степенями и/или званиями соответствуют профилю подготовки, осуществляемой кафедрой, и преподаваемым дисциплинам. За последние пять лет повышение квалификации прошли все преподаватели кафедры.</w:t>
      </w:r>
    </w:p>
    <w:p w:rsidR="006D3172" w:rsidRDefault="006D3172" w:rsidP="006D31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D8"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F958D8">
        <w:rPr>
          <w:rFonts w:ascii="Times New Roman" w:hAnsi="Times New Roman" w:cs="Times New Roman"/>
          <w:color w:val="000000"/>
          <w:sz w:val="28"/>
          <w:szCs w:val="28"/>
        </w:rPr>
        <w:t>Контингент обучающих</w:t>
      </w:r>
      <w:r w:rsidR="00455495">
        <w:rPr>
          <w:rFonts w:ascii="Times New Roman" w:hAnsi="Times New Roman" w:cs="Times New Roman"/>
          <w:color w:val="000000"/>
          <w:sz w:val="28"/>
          <w:szCs w:val="28"/>
        </w:rPr>
        <w:t>ся по состоянию на сентябрь 2024</w:t>
      </w:r>
      <w:r w:rsidRPr="00F958D8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 </w:t>
      </w:r>
      <w:r w:rsidR="00517E03">
        <w:rPr>
          <w:rFonts w:ascii="Times New Roman" w:hAnsi="Times New Roman" w:cs="Times New Roman"/>
          <w:sz w:val="28"/>
          <w:szCs w:val="28"/>
        </w:rPr>
        <w:t>284 студента</w:t>
      </w:r>
      <w:r w:rsidR="00455495">
        <w:rPr>
          <w:rFonts w:ascii="Times New Roman" w:hAnsi="Times New Roman" w:cs="Times New Roman"/>
          <w:sz w:val="28"/>
          <w:szCs w:val="28"/>
        </w:rPr>
        <w:t>, включая 1</w:t>
      </w:r>
      <w:r w:rsidRPr="00F958D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55495">
        <w:rPr>
          <w:rFonts w:ascii="Times New Roman" w:hAnsi="Times New Roman" w:cs="Times New Roman"/>
          <w:sz w:val="28"/>
          <w:szCs w:val="28"/>
        </w:rPr>
        <w:t>а</w:t>
      </w:r>
      <w:r w:rsidRPr="00F958D8">
        <w:rPr>
          <w:rFonts w:ascii="Times New Roman" w:hAnsi="Times New Roman" w:cs="Times New Roman"/>
          <w:sz w:val="28"/>
          <w:szCs w:val="28"/>
        </w:rPr>
        <w:t xml:space="preserve"> с особыми возможностями в состоянии здоровья</w:t>
      </w:r>
      <w:r w:rsidR="00517E03">
        <w:rPr>
          <w:rFonts w:ascii="Times New Roman" w:hAnsi="Times New Roman" w:cs="Times New Roman"/>
          <w:sz w:val="28"/>
          <w:szCs w:val="28"/>
        </w:rPr>
        <w:t xml:space="preserve"> и 30 человек студентов иностранцев</w:t>
      </w:r>
      <w:r w:rsidRPr="00F958D8">
        <w:rPr>
          <w:rFonts w:ascii="Times New Roman" w:hAnsi="Times New Roman" w:cs="Times New Roman"/>
          <w:sz w:val="28"/>
          <w:szCs w:val="28"/>
        </w:rPr>
        <w:t>.</w:t>
      </w:r>
    </w:p>
    <w:p w:rsidR="00DC3EB4" w:rsidRPr="00DC3EB4" w:rsidRDefault="00DC3EB4" w:rsidP="006D31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DC3E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C3EB4">
        <w:rPr>
          <w:rFonts w:ascii="Times New Roman" w:hAnsi="Times New Roman" w:cs="Times New Roman"/>
          <w:color w:val="000000"/>
          <w:sz w:val="28"/>
          <w:szCs w:val="28"/>
        </w:rPr>
        <w:t>се закрепленные за кафедрой образовательные программы высшего образования разработаны и утв</w:t>
      </w:r>
      <w:r w:rsidR="00517E03">
        <w:rPr>
          <w:rFonts w:ascii="Times New Roman" w:hAnsi="Times New Roman" w:cs="Times New Roman"/>
          <w:color w:val="000000"/>
          <w:sz w:val="28"/>
          <w:szCs w:val="28"/>
        </w:rPr>
        <w:t xml:space="preserve">ерждены в установленном порядке и </w:t>
      </w:r>
      <w:r w:rsidRPr="00DC3EB4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размещены в ЭИОС</w:t>
      </w:r>
      <w:r w:rsidR="006E4D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41D4" w:rsidRDefault="00DC3EB4" w:rsidP="006D317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03DCC">
        <w:rPr>
          <w:rFonts w:ascii="Times New Roman" w:eastAsia="Calibri" w:hAnsi="Times New Roman" w:cs="Times New Roman"/>
          <w:sz w:val="28"/>
          <w:szCs w:val="28"/>
          <w:lang w:eastAsia="ru-RU"/>
        </w:rPr>
        <w:t>. К</w:t>
      </w:r>
      <w:r w:rsidR="006E4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афедра </w:t>
      </w:r>
      <w:r w:rsidR="0070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активно </w:t>
      </w:r>
      <w:r w:rsidR="006E4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оказывает </w:t>
      </w:r>
      <w:r w:rsidR="0070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</w:t>
      </w:r>
      <w:r w:rsidR="006D3172" w:rsidRPr="006D31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3172" w:rsidRPr="004A70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</w:t>
      </w:r>
      <w:r w:rsidRPr="004A70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D3172" w:rsidRPr="004A70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D3172" w:rsidRPr="004A709B">
        <w:rPr>
          <w:rFonts w:ascii="Times New Roman" w:eastAsia="Calibri" w:hAnsi="Times New Roman" w:cs="Times New Roman"/>
          <w:sz w:val="28"/>
          <w:szCs w:val="28"/>
        </w:rPr>
        <w:t xml:space="preserve"> в рамках разработки и реализации целой сер</w:t>
      </w:r>
      <w:r w:rsidR="00703DCC" w:rsidRPr="004A709B">
        <w:rPr>
          <w:rFonts w:ascii="Times New Roman" w:eastAsia="Calibri" w:hAnsi="Times New Roman" w:cs="Times New Roman"/>
          <w:sz w:val="28"/>
          <w:szCs w:val="28"/>
        </w:rPr>
        <w:t>ии курсов повышения квалификаций</w:t>
      </w:r>
      <w:r w:rsidR="00F958D8" w:rsidRPr="004A709B">
        <w:rPr>
          <w:rFonts w:ascii="Times New Roman" w:eastAsia="Calibri" w:hAnsi="Times New Roman" w:cs="Times New Roman"/>
          <w:sz w:val="28"/>
          <w:szCs w:val="28"/>
        </w:rPr>
        <w:t>, стажировок</w:t>
      </w:r>
      <w:r w:rsidR="006D3172" w:rsidRPr="004A7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учителей физической культуры, </w:t>
      </w:r>
      <w:r w:rsidR="006D3172" w:rsidRPr="004A709B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инструкторов</w:t>
      </w:r>
      <w:r w:rsidR="00BF7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ФК</w:t>
      </w:r>
      <w:r w:rsidR="006D3172" w:rsidRPr="004A7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тренерско-преподавательского составов детско-юношеских спортивных школ  г. Пензы и Пензенской области</w:t>
      </w:r>
      <w:r w:rsidR="00BF798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5495" w:rsidRPr="004A7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3172" w:rsidRPr="004A709B">
        <w:rPr>
          <w:rFonts w:ascii="Times New Roman" w:eastAsia="Calibri" w:hAnsi="Times New Roman" w:cs="Times New Roman"/>
          <w:sz w:val="28"/>
          <w:szCs w:val="28"/>
        </w:rPr>
        <w:t xml:space="preserve">включая такие </w:t>
      </w:r>
      <w:r w:rsidR="00455495" w:rsidRPr="004A709B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6D3172" w:rsidRPr="004A709B">
        <w:rPr>
          <w:rFonts w:ascii="Times New Roman" w:eastAsia="Calibri" w:hAnsi="Times New Roman" w:cs="Times New Roman"/>
          <w:sz w:val="28"/>
          <w:szCs w:val="28"/>
        </w:rPr>
        <w:t xml:space="preserve">как: </w:t>
      </w:r>
      <w:proofErr w:type="gramStart"/>
      <w:r w:rsidR="004A709B" w:rsidRPr="004A709B">
        <w:rPr>
          <w:rFonts w:ascii="Times New Roman" w:eastAsia="Calibri" w:hAnsi="Times New Roman" w:cs="Times New Roman"/>
          <w:sz w:val="28"/>
          <w:szCs w:val="28"/>
        </w:rPr>
        <w:t xml:space="preserve">«Современные подходы организации учебно-тренировочной деятельности специалистов по физической культуре и спорту», «Теория и методика спортивной тренировки учащихся детских спортивных школ по легкой атлетике и спортивным играм», «Организация физического воспитания школьников с использованием </w:t>
      </w:r>
      <w:proofErr w:type="spellStart"/>
      <w:r w:rsidR="004A709B" w:rsidRPr="004A709B">
        <w:rPr>
          <w:rFonts w:ascii="Times New Roman" w:eastAsia="Calibri" w:hAnsi="Times New Roman" w:cs="Times New Roman"/>
          <w:sz w:val="28"/>
          <w:szCs w:val="28"/>
        </w:rPr>
        <w:t>спортизационных</w:t>
      </w:r>
      <w:proofErr w:type="spellEnd"/>
      <w:r w:rsidR="004A709B" w:rsidRPr="004A709B">
        <w:rPr>
          <w:rFonts w:ascii="Times New Roman" w:eastAsia="Calibri" w:hAnsi="Times New Roman" w:cs="Times New Roman"/>
          <w:sz w:val="28"/>
          <w:szCs w:val="28"/>
        </w:rPr>
        <w:t xml:space="preserve">  форм занятий в рамках реализации ФГОС ООО», </w:t>
      </w:r>
      <w:r w:rsidR="004A709B" w:rsidRPr="004A709B">
        <w:rPr>
          <w:rFonts w:ascii="Times New Roman" w:hAnsi="Times New Roman" w:cs="Times New Roman"/>
          <w:sz w:val="28"/>
          <w:szCs w:val="28"/>
        </w:rPr>
        <w:t xml:space="preserve">«Педагогические </w:t>
      </w:r>
      <w:r w:rsidR="00BF7985">
        <w:rPr>
          <w:rFonts w:ascii="Times New Roman" w:hAnsi="Times New Roman" w:cs="Times New Roman"/>
          <w:sz w:val="28"/>
          <w:szCs w:val="28"/>
        </w:rPr>
        <w:t xml:space="preserve">    </w:t>
      </w:r>
      <w:r w:rsidR="004A709B" w:rsidRPr="004A709B">
        <w:rPr>
          <w:rFonts w:ascii="Times New Roman" w:hAnsi="Times New Roman" w:cs="Times New Roman"/>
          <w:sz w:val="28"/>
          <w:szCs w:val="28"/>
        </w:rPr>
        <w:t xml:space="preserve">технологии физического воспитания в современном вузе», </w:t>
      </w:r>
      <w:r w:rsidR="004A709B" w:rsidRPr="004A709B">
        <w:rPr>
          <w:rFonts w:ascii="Times New Roman" w:eastAsia="Calibri" w:hAnsi="Times New Roman" w:cs="Times New Roman"/>
          <w:sz w:val="28"/>
          <w:szCs w:val="28"/>
        </w:rPr>
        <w:t xml:space="preserve">«ЛФК и спортивная медицина», </w:t>
      </w:r>
      <w:r w:rsidR="004A709B" w:rsidRPr="004A709B">
        <w:rPr>
          <w:rFonts w:ascii="Times New Roman" w:eastAsia="Calibri" w:hAnsi="Times New Roman" w:cs="Times New Roman"/>
          <w:color w:val="000000"/>
          <w:sz w:val="28"/>
          <w:szCs w:val="28"/>
        </w:rPr>
        <w:t>«Подготовка спортсменов: осуществление тренировочных мероприятий и совершенствование навыков соревновательной</w:t>
      </w:r>
      <w:proofErr w:type="gramEnd"/>
      <w:r w:rsidR="004A709B" w:rsidRPr="004A70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деятельности», </w:t>
      </w:r>
      <w:r w:rsidR="004A709B" w:rsidRPr="004A709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A709B" w:rsidRPr="004A70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Теория и методика тренерско-преподавательской деятельности по физической культуре и спорту» </w:t>
      </w:r>
      <w:r w:rsidR="004A709B" w:rsidRPr="004A709B">
        <w:rPr>
          <w:rFonts w:ascii="Times New Roman" w:eastAsia="Calibri" w:hAnsi="Times New Roman" w:cs="Times New Roman"/>
          <w:sz w:val="28"/>
          <w:szCs w:val="28"/>
        </w:rPr>
        <w:t xml:space="preserve">и многие другие. </w:t>
      </w:r>
    </w:p>
    <w:p w:rsidR="006D3172" w:rsidRPr="004A709B" w:rsidRDefault="00C316C7" w:rsidP="00DF253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9B">
        <w:rPr>
          <w:rFonts w:ascii="Times New Roman" w:eastAsia="Calibri" w:hAnsi="Times New Roman" w:cs="Times New Roman"/>
          <w:sz w:val="28"/>
          <w:szCs w:val="28"/>
        </w:rPr>
        <w:t>При этом кафедра</w:t>
      </w:r>
      <w:r w:rsidR="003E657A" w:rsidRPr="004A709B">
        <w:rPr>
          <w:rFonts w:ascii="Times New Roman" w:eastAsia="Calibri" w:hAnsi="Times New Roman" w:cs="Times New Roman"/>
          <w:sz w:val="28"/>
          <w:szCs w:val="28"/>
        </w:rPr>
        <w:t xml:space="preserve"> реализует  </w:t>
      </w:r>
      <w:r w:rsidR="004A709B" w:rsidRPr="004A709B">
        <w:rPr>
          <w:rFonts w:ascii="Times New Roman" w:eastAsia="Calibri" w:hAnsi="Times New Roman" w:cs="Times New Roman"/>
          <w:sz w:val="28"/>
          <w:szCs w:val="28"/>
        </w:rPr>
        <w:t>целый ряд программ профессиональной переподготовки</w:t>
      </w:r>
      <w:r w:rsidR="004A709B">
        <w:rPr>
          <w:rFonts w:ascii="Times New Roman" w:eastAsia="Calibri" w:hAnsi="Times New Roman" w:cs="Times New Roman"/>
          <w:sz w:val="28"/>
          <w:szCs w:val="28"/>
        </w:rPr>
        <w:t>, включая такие программы</w:t>
      </w:r>
      <w:r w:rsidR="004A709B" w:rsidRPr="004A709B">
        <w:rPr>
          <w:rFonts w:ascii="Times New Roman" w:eastAsia="Calibri" w:hAnsi="Times New Roman" w:cs="Times New Roman"/>
          <w:sz w:val="28"/>
          <w:szCs w:val="28"/>
        </w:rPr>
        <w:t xml:space="preserve"> как: «Теория и методика преподавания физической культуры и спорта», «Тренер в избранном виде спорта», «Физическая культура для лиц с отклонениями в состоянии здоровья (ад</w:t>
      </w:r>
      <w:r w:rsidR="00F141D4">
        <w:rPr>
          <w:rFonts w:ascii="Times New Roman" w:eastAsia="Calibri" w:hAnsi="Times New Roman" w:cs="Times New Roman"/>
          <w:sz w:val="28"/>
          <w:szCs w:val="28"/>
        </w:rPr>
        <w:t>аптивная физическая культура)</w:t>
      </w:r>
      <w:r w:rsidR="00DF25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53B" w:rsidRPr="004A709B">
        <w:rPr>
          <w:rFonts w:ascii="Times New Roman" w:eastAsia="Calibri" w:hAnsi="Times New Roman" w:cs="Times New Roman"/>
          <w:sz w:val="28"/>
          <w:szCs w:val="28"/>
        </w:rPr>
        <w:t>«Основы классического массажа и средства ЛФК</w:t>
      </w:r>
      <w:r w:rsidR="00DF25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F141D4">
        <w:rPr>
          <w:rFonts w:ascii="Times New Roman" w:eastAsia="Calibri" w:hAnsi="Times New Roman" w:cs="Times New Roman"/>
          <w:sz w:val="28"/>
          <w:szCs w:val="28"/>
        </w:rPr>
        <w:t xml:space="preserve"> разработчиком которых </w:t>
      </w:r>
      <w:r w:rsidR="00F141D4" w:rsidRPr="004A7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1D4" w:rsidRPr="004A709B">
        <w:rPr>
          <w:rFonts w:ascii="Times New Roman" w:eastAsia="Calibri" w:hAnsi="Times New Roman" w:cs="Times New Roman"/>
          <w:sz w:val="28"/>
          <w:szCs w:val="28"/>
        </w:rPr>
        <w:t xml:space="preserve">является заведующий кафедрой </w:t>
      </w:r>
      <w:r w:rsidR="00F14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1D4" w:rsidRPr="004A709B">
        <w:rPr>
          <w:rFonts w:ascii="Times New Roman" w:eastAsia="Calibri" w:hAnsi="Times New Roman" w:cs="Times New Roman"/>
          <w:sz w:val="28"/>
          <w:szCs w:val="28"/>
        </w:rPr>
        <w:t>А.Н. Иванов</w:t>
      </w:r>
      <w:r w:rsidR="00F141D4">
        <w:rPr>
          <w:rFonts w:ascii="Times New Roman" w:eastAsia="Calibri" w:hAnsi="Times New Roman" w:cs="Times New Roman"/>
          <w:sz w:val="28"/>
          <w:szCs w:val="28"/>
        </w:rPr>
        <w:t>.</w:t>
      </w:r>
      <w:r w:rsidR="00DF2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B98" w:rsidRPr="004A709B">
        <w:rPr>
          <w:rFonts w:ascii="Times New Roman" w:eastAsia="Calibri" w:hAnsi="Times New Roman" w:cs="Times New Roman"/>
          <w:sz w:val="28"/>
          <w:szCs w:val="28"/>
        </w:rPr>
        <w:t>Финансов</w:t>
      </w:r>
      <w:r w:rsidR="004A1F89">
        <w:rPr>
          <w:rFonts w:ascii="Times New Roman" w:eastAsia="Calibri" w:hAnsi="Times New Roman" w:cs="Times New Roman"/>
          <w:sz w:val="28"/>
          <w:szCs w:val="28"/>
        </w:rPr>
        <w:t>ый д</w:t>
      </w:r>
      <w:r w:rsidR="00DF253B">
        <w:rPr>
          <w:rFonts w:ascii="Times New Roman" w:eastAsia="Calibri" w:hAnsi="Times New Roman" w:cs="Times New Roman"/>
          <w:sz w:val="28"/>
          <w:szCs w:val="28"/>
        </w:rPr>
        <w:t>оход от реализации программ</w:t>
      </w:r>
      <w:r w:rsidR="00542B98" w:rsidRPr="004A709B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703DCC" w:rsidRPr="004A709B">
        <w:rPr>
          <w:rFonts w:ascii="Times New Roman" w:eastAsia="Calibri" w:hAnsi="Times New Roman" w:cs="Times New Roman"/>
          <w:sz w:val="28"/>
          <w:szCs w:val="28"/>
        </w:rPr>
        <w:t>за отчетный период составил</w:t>
      </w:r>
      <w:r w:rsidR="00542B98" w:rsidRPr="004A7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3172" w:rsidRPr="004A709B">
        <w:rPr>
          <w:rFonts w:ascii="Times New Roman" w:eastAsia="Calibri" w:hAnsi="Times New Roman" w:cs="Times New Roman"/>
          <w:sz w:val="28"/>
          <w:szCs w:val="28"/>
        </w:rPr>
        <w:t>более двух миллионов рублей.</w:t>
      </w:r>
      <w:r w:rsidR="00517E03" w:rsidRPr="00517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E03" w:rsidRPr="004A709B">
        <w:rPr>
          <w:rFonts w:ascii="Times New Roman" w:eastAsia="Calibri" w:hAnsi="Times New Roman" w:cs="Times New Roman"/>
          <w:sz w:val="28"/>
          <w:szCs w:val="28"/>
        </w:rPr>
        <w:t>Финансов</w:t>
      </w:r>
      <w:r w:rsidR="004A1F89">
        <w:rPr>
          <w:rFonts w:ascii="Times New Roman" w:eastAsia="Calibri" w:hAnsi="Times New Roman" w:cs="Times New Roman"/>
          <w:sz w:val="28"/>
          <w:szCs w:val="28"/>
        </w:rPr>
        <w:t>ый д</w:t>
      </w:r>
      <w:r w:rsidR="00517E03">
        <w:rPr>
          <w:rFonts w:ascii="Times New Roman" w:eastAsia="Calibri" w:hAnsi="Times New Roman" w:cs="Times New Roman"/>
          <w:sz w:val="28"/>
          <w:szCs w:val="28"/>
        </w:rPr>
        <w:t xml:space="preserve">оход от ЦДО   </w:t>
      </w:r>
      <w:proofErr w:type="spellStart"/>
      <w:r w:rsidR="00517E03">
        <w:rPr>
          <w:rFonts w:ascii="Times New Roman" w:eastAsia="Calibri" w:hAnsi="Times New Roman" w:cs="Times New Roman"/>
          <w:sz w:val="28"/>
          <w:szCs w:val="28"/>
        </w:rPr>
        <w:t>ИФКиС</w:t>
      </w:r>
      <w:proofErr w:type="spellEnd"/>
      <w:r w:rsidR="00517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E03" w:rsidRPr="004A709B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517E03">
        <w:rPr>
          <w:rFonts w:ascii="Times New Roman" w:eastAsia="Calibri" w:hAnsi="Times New Roman" w:cs="Times New Roman"/>
          <w:sz w:val="28"/>
          <w:szCs w:val="28"/>
        </w:rPr>
        <w:t>более семи</w:t>
      </w:r>
      <w:r w:rsidR="00517E03" w:rsidRPr="004A709B">
        <w:rPr>
          <w:rFonts w:ascii="Times New Roman" w:eastAsia="Calibri" w:hAnsi="Times New Roman" w:cs="Times New Roman"/>
          <w:sz w:val="28"/>
          <w:szCs w:val="28"/>
        </w:rPr>
        <w:t xml:space="preserve"> миллионов рублей</w:t>
      </w:r>
    </w:p>
    <w:p w:rsidR="009A23B2" w:rsidRDefault="003E657A" w:rsidP="006E37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D87">
        <w:rPr>
          <w:rFonts w:ascii="Times New Roman" w:hAnsi="Times New Roman"/>
          <w:sz w:val="28"/>
          <w:szCs w:val="28"/>
        </w:rPr>
        <w:t xml:space="preserve">  </w:t>
      </w:r>
      <w:r w:rsidRPr="004A709B">
        <w:rPr>
          <w:rFonts w:ascii="Times New Roman" w:hAnsi="Times New Roman" w:cs="Times New Roman"/>
          <w:sz w:val="28"/>
          <w:szCs w:val="28"/>
        </w:rPr>
        <w:t>7</w:t>
      </w:r>
      <w:r w:rsidR="00673A7E" w:rsidRPr="004A7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3A7E" w:rsidRPr="004A709B">
        <w:rPr>
          <w:rFonts w:ascii="Times New Roman" w:hAnsi="Times New Roman" w:cs="Times New Roman"/>
          <w:sz w:val="28"/>
          <w:szCs w:val="28"/>
        </w:rPr>
        <w:t xml:space="preserve">За отчетный период сотрудниками кафедры были опубликованы </w:t>
      </w:r>
      <w:r w:rsidR="00A64ACF" w:rsidRPr="004A709B">
        <w:rPr>
          <w:rFonts w:ascii="Times New Roman" w:hAnsi="Times New Roman" w:cs="Times New Roman"/>
          <w:sz w:val="28"/>
          <w:szCs w:val="28"/>
        </w:rPr>
        <w:t xml:space="preserve">        </w:t>
      </w:r>
      <w:r w:rsidR="00DF253B">
        <w:rPr>
          <w:rFonts w:ascii="Times New Roman" w:hAnsi="Times New Roman" w:cs="Times New Roman"/>
          <w:sz w:val="28"/>
          <w:szCs w:val="28"/>
        </w:rPr>
        <w:t xml:space="preserve"> </w:t>
      </w:r>
      <w:r w:rsidR="004A709B" w:rsidRPr="004A709B">
        <w:rPr>
          <w:rFonts w:ascii="Times New Roman" w:hAnsi="Times New Roman" w:cs="Times New Roman"/>
          <w:sz w:val="28"/>
          <w:szCs w:val="28"/>
        </w:rPr>
        <w:t xml:space="preserve">2  учебных пособия, 90  научно-исследовательских, практико-методических материалов и </w:t>
      </w:r>
      <w:r w:rsidR="00DE619E" w:rsidRPr="004A709B">
        <w:rPr>
          <w:rFonts w:ascii="Times New Roman" w:hAnsi="Times New Roman" w:cs="Times New Roman"/>
          <w:sz w:val="28"/>
          <w:szCs w:val="28"/>
        </w:rPr>
        <w:t xml:space="preserve">статей в сборниках </w:t>
      </w:r>
      <w:r w:rsidR="00A64ACF" w:rsidRPr="004A709B">
        <w:rPr>
          <w:rFonts w:ascii="Times New Roman" w:hAnsi="Times New Roman" w:cs="Times New Roman"/>
          <w:sz w:val="28"/>
          <w:szCs w:val="28"/>
        </w:rPr>
        <w:t xml:space="preserve">трудов </w:t>
      </w:r>
      <w:proofErr w:type="spellStart"/>
      <w:r w:rsidR="00DE619E" w:rsidRPr="004A709B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="00DE619E" w:rsidRPr="004A709B">
        <w:rPr>
          <w:rFonts w:ascii="Times New Roman" w:hAnsi="Times New Roman" w:cs="Times New Roman"/>
          <w:sz w:val="28"/>
          <w:szCs w:val="28"/>
        </w:rPr>
        <w:t xml:space="preserve">, Всероссийских и международных научно-практических конференций, </w:t>
      </w:r>
      <w:r w:rsidR="004A709B" w:rsidRPr="004A7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75</w:t>
      </w:r>
      <w:r w:rsidR="00A64ACF" w:rsidRPr="004A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включены в Российский индекс научного цитирования – РИНЦ</w:t>
      </w:r>
      <w:r w:rsidR="00DF253B">
        <w:rPr>
          <w:rFonts w:ascii="Times New Roman" w:hAnsi="Times New Roman" w:cs="Times New Roman"/>
          <w:sz w:val="28"/>
          <w:szCs w:val="28"/>
        </w:rPr>
        <w:t>,</w:t>
      </w:r>
      <w:r w:rsidR="004A709B" w:rsidRPr="004A7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709B" w:rsidRPr="00ED7E2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A709B" w:rsidRPr="004A70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709B" w:rsidRPr="004A709B">
        <w:rPr>
          <w:rFonts w:ascii="Times New Roman" w:hAnsi="Times New Roman" w:cs="Times New Roman"/>
          <w:sz w:val="28"/>
          <w:szCs w:val="28"/>
          <w:lang w:eastAsia="ru-RU"/>
        </w:rPr>
        <w:t>– статей включенных</w:t>
      </w:r>
      <w:r w:rsidR="006E373B" w:rsidRPr="006E37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73B" w:rsidRPr="004A709B">
        <w:rPr>
          <w:rFonts w:ascii="Times New Roman" w:hAnsi="Times New Roman" w:cs="Times New Roman"/>
          <w:sz w:val="28"/>
          <w:szCs w:val="28"/>
          <w:lang w:eastAsia="ru-RU"/>
        </w:rPr>
        <w:t xml:space="preserve">в перечень ведущих рецензируемых научных журналов ВАК России, </w:t>
      </w:r>
      <w:r w:rsidR="006E373B" w:rsidRPr="00B136EF">
        <w:rPr>
          <w:rFonts w:ascii="Times New Roman" w:hAnsi="Times New Roman" w:cs="Times New Roman"/>
          <w:sz w:val="28"/>
          <w:szCs w:val="28"/>
          <w:lang w:eastAsia="ru-RU"/>
        </w:rPr>
        <w:t>3 -</w:t>
      </w:r>
      <w:r w:rsidR="006E373B" w:rsidRPr="004A709B"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</w:t>
      </w:r>
      <w:r w:rsidR="006E373B" w:rsidRPr="004A709B">
        <w:rPr>
          <w:rFonts w:ascii="Times New Roman" w:eastAsia="Calibri" w:hAnsi="Times New Roman" w:cs="Times New Roman"/>
          <w:sz w:val="28"/>
          <w:szCs w:val="28"/>
          <w:lang w:val="en-US"/>
        </w:rPr>
        <w:t>SCOPUS</w:t>
      </w:r>
      <w:r w:rsidR="006E373B" w:rsidRPr="004A709B">
        <w:rPr>
          <w:rFonts w:ascii="Times New Roman" w:eastAsia="Calibri" w:hAnsi="Times New Roman" w:cs="Times New Roman"/>
          <w:sz w:val="28"/>
          <w:szCs w:val="28"/>
        </w:rPr>
        <w:t xml:space="preserve">, 3 - статьи </w:t>
      </w:r>
      <w:r w:rsidR="006E373B" w:rsidRPr="004A709B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="006E373B" w:rsidRPr="004A709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E373B">
        <w:rPr>
          <w:rFonts w:ascii="Times New Roman" w:eastAsia="Calibri" w:hAnsi="Times New Roman" w:cs="Times New Roman"/>
          <w:sz w:val="28"/>
          <w:szCs w:val="28"/>
        </w:rPr>
        <w:t xml:space="preserve"> подготовлено </w:t>
      </w:r>
      <w:r w:rsidR="006E373B" w:rsidRPr="004A709B">
        <w:rPr>
          <w:rFonts w:ascii="Times New Roman" w:eastAsia="Calibri" w:hAnsi="Times New Roman" w:cs="Times New Roman"/>
          <w:sz w:val="28"/>
          <w:szCs w:val="28"/>
        </w:rPr>
        <w:t xml:space="preserve">четыре </w:t>
      </w:r>
      <w:r w:rsidR="006E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373B" w:rsidRPr="004A709B">
        <w:rPr>
          <w:rFonts w:ascii="Times New Roman" w:eastAsia="Calibri" w:hAnsi="Times New Roman" w:cs="Times New Roman"/>
          <w:sz w:val="28"/>
          <w:szCs w:val="28"/>
        </w:rPr>
        <w:t>межкафедральных</w:t>
      </w:r>
      <w:proofErr w:type="spellEnd"/>
      <w:r w:rsidR="006E373B" w:rsidRPr="004A709B">
        <w:rPr>
          <w:rFonts w:ascii="Times New Roman" w:eastAsia="Calibri" w:hAnsi="Times New Roman" w:cs="Times New Roman"/>
          <w:sz w:val="28"/>
          <w:szCs w:val="28"/>
        </w:rPr>
        <w:t xml:space="preserve"> сборника научных трудов</w:t>
      </w:r>
      <w:r w:rsidR="006E373B" w:rsidRPr="004A7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53B">
        <w:rPr>
          <w:rFonts w:ascii="Times New Roman" w:hAnsi="Times New Roman" w:cs="Times New Roman"/>
          <w:sz w:val="28"/>
          <w:szCs w:val="28"/>
        </w:rPr>
        <w:t>с международным</w:t>
      </w:r>
      <w:proofErr w:type="gramEnd"/>
      <w:r w:rsidR="00DF253B">
        <w:rPr>
          <w:rFonts w:ascii="Times New Roman" w:hAnsi="Times New Roman" w:cs="Times New Roman"/>
          <w:sz w:val="28"/>
          <w:szCs w:val="28"/>
        </w:rPr>
        <w:t xml:space="preserve"> участием</w:t>
      </w:r>
      <w:r w:rsidR="006E373B" w:rsidRPr="00ED7E2E">
        <w:rPr>
          <w:rFonts w:ascii="Times New Roman" w:hAnsi="Times New Roman" w:cs="Times New Roman"/>
          <w:sz w:val="28"/>
          <w:szCs w:val="28"/>
        </w:rPr>
        <w:t>,</w:t>
      </w:r>
      <w:r w:rsidR="006E373B" w:rsidRPr="004A709B">
        <w:rPr>
          <w:rFonts w:ascii="Times New Roman" w:hAnsi="Times New Roman" w:cs="Times New Roman"/>
          <w:sz w:val="28"/>
          <w:szCs w:val="28"/>
        </w:rPr>
        <w:t xml:space="preserve"> а </w:t>
      </w:r>
      <w:r w:rsidR="00DF253B">
        <w:rPr>
          <w:rFonts w:ascii="Times New Roman" w:hAnsi="Times New Roman" w:cs="Times New Roman"/>
          <w:sz w:val="28"/>
          <w:szCs w:val="28"/>
        </w:rPr>
        <w:t xml:space="preserve"> </w:t>
      </w:r>
      <w:r w:rsidR="006E373B" w:rsidRPr="004A709B">
        <w:rPr>
          <w:rFonts w:ascii="Times New Roman" w:hAnsi="Times New Roman" w:cs="Times New Roman"/>
          <w:sz w:val="28"/>
          <w:szCs w:val="28"/>
        </w:rPr>
        <w:t>также проведена одна Всероссийская научно-практическая конференция с международным участием</w:t>
      </w:r>
      <w:r w:rsidR="006E37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36EF" w:rsidRDefault="009A23B2" w:rsidP="006E37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этом  подготовлено 4 онлайн-курса 2 категории и одна программа «Скандинавская ходьба как средство оздоровления взрослого населения», Федерального проекта «Содействия занятости», национального проекта «Демография».</w:t>
      </w:r>
      <w:r w:rsidR="004A709B" w:rsidRPr="004A7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70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6E373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C316C7" w:rsidRPr="004A709B" w:rsidRDefault="004A709B" w:rsidP="00C316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657A" w:rsidRPr="004A709B">
        <w:rPr>
          <w:rFonts w:ascii="Times New Roman" w:hAnsi="Times New Roman" w:cs="Times New Roman"/>
          <w:sz w:val="28"/>
          <w:szCs w:val="28"/>
        </w:rPr>
        <w:t>8</w:t>
      </w:r>
      <w:r w:rsidR="00857853" w:rsidRPr="004A709B">
        <w:rPr>
          <w:rFonts w:ascii="Times New Roman" w:hAnsi="Times New Roman" w:cs="Times New Roman"/>
          <w:sz w:val="28"/>
          <w:szCs w:val="28"/>
        </w:rPr>
        <w:t>. Объем НИР за отчетный пер</w:t>
      </w:r>
      <w:r w:rsidR="004A1F89">
        <w:rPr>
          <w:rFonts w:ascii="Times New Roman" w:hAnsi="Times New Roman" w:cs="Times New Roman"/>
          <w:sz w:val="28"/>
          <w:szCs w:val="28"/>
        </w:rPr>
        <w:t>иод составил 879</w:t>
      </w:r>
      <w:r w:rsidR="00B136EF">
        <w:rPr>
          <w:rFonts w:ascii="Times New Roman" w:hAnsi="Times New Roman" w:cs="Times New Roman"/>
          <w:sz w:val="28"/>
          <w:szCs w:val="28"/>
        </w:rPr>
        <w:t>900 тысяч</w:t>
      </w:r>
      <w:r w:rsidR="00517E0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316C7" w:rsidRPr="004A709B">
        <w:rPr>
          <w:rFonts w:ascii="Times New Roman" w:hAnsi="Times New Roman" w:cs="Times New Roman"/>
          <w:sz w:val="28"/>
          <w:szCs w:val="28"/>
        </w:rPr>
        <w:t xml:space="preserve">, </w:t>
      </w:r>
      <w:r w:rsidR="002108AA" w:rsidRPr="004A709B">
        <w:rPr>
          <w:rFonts w:ascii="Times New Roman" w:hAnsi="Times New Roman" w:cs="Times New Roman"/>
          <w:sz w:val="28"/>
          <w:szCs w:val="28"/>
        </w:rPr>
        <w:t>что в расчете на 1 ППС составляет</w:t>
      </w:r>
      <w:r w:rsidR="00C316C7" w:rsidRPr="004A709B">
        <w:rPr>
          <w:rFonts w:ascii="Times New Roman" w:hAnsi="Times New Roman" w:cs="Times New Roman"/>
          <w:sz w:val="28"/>
          <w:szCs w:val="28"/>
        </w:rPr>
        <w:t xml:space="preserve"> </w:t>
      </w:r>
      <w:r w:rsidR="00B136EF" w:rsidRPr="00B136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21,1 </w:t>
      </w:r>
      <w:r w:rsidR="00C316C7" w:rsidRPr="00B136EF">
        <w:rPr>
          <w:rFonts w:ascii="Times New Roman" w:hAnsi="Times New Roman" w:cs="Times New Roman"/>
          <w:sz w:val="28"/>
          <w:szCs w:val="28"/>
        </w:rPr>
        <w:t>тыс</w:t>
      </w:r>
      <w:r w:rsidR="00765279" w:rsidRPr="00B136EF">
        <w:rPr>
          <w:rFonts w:ascii="Times New Roman" w:hAnsi="Times New Roman" w:cs="Times New Roman"/>
          <w:sz w:val="28"/>
          <w:szCs w:val="28"/>
        </w:rPr>
        <w:t>яч</w:t>
      </w:r>
      <w:r w:rsidR="002108AA" w:rsidRPr="00B136EF">
        <w:rPr>
          <w:rFonts w:ascii="Times New Roman" w:hAnsi="Times New Roman" w:cs="Times New Roman"/>
          <w:sz w:val="28"/>
          <w:szCs w:val="28"/>
        </w:rPr>
        <w:t>у</w:t>
      </w:r>
      <w:r w:rsidR="00517E0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108AA" w:rsidRPr="004A709B">
        <w:rPr>
          <w:rFonts w:ascii="Times New Roman" w:hAnsi="Times New Roman" w:cs="Times New Roman"/>
          <w:sz w:val="28"/>
          <w:szCs w:val="28"/>
        </w:rPr>
        <w:t xml:space="preserve">, это ниже </w:t>
      </w:r>
      <w:r w:rsidR="00703DCC" w:rsidRPr="004A709B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2108AA" w:rsidRPr="004A709B">
        <w:rPr>
          <w:rFonts w:ascii="Times New Roman" w:hAnsi="Times New Roman" w:cs="Times New Roman"/>
          <w:sz w:val="28"/>
          <w:szCs w:val="28"/>
        </w:rPr>
        <w:t>нормативных показателей.</w:t>
      </w:r>
    </w:p>
    <w:p w:rsidR="00C316C7" w:rsidRDefault="003E657A" w:rsidP="00C316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C316C7">
        <w:rPr>
          <w:rFonts w:ascii="Times New Roman" w:hAnsi="Times New Roman"/>
          <w:bCs/>
          <w:sz w:val="28"/>
          <w:szCs w:val="28"/>
        </w:rPr>
        <w:t xml:space="preserve">. </w:t>
      </w:r>
      <w:r w:rsidR="00C316C7" w:rsidRPr="00C316C7">
        <w:rPr>
          <w:rFonts w:ascii="Times New Roman" w:hAnsi="Times New Roman"/>
          <w:bCs/>
          <w:sz w:val="28"/>
          <w:szCs w:val="28"/>
        </w:rPr>
        <w:t xml:space="preserve">Научная работа студентов осуществляется в рамках студенческого научного кружка. </w:t>
      </w:r>
      <w:r w:rsidR="00C316C7" w:rsidRPr="00C316C7">
        <w:rPr>
          <w:rFonts w:ascii="Times New Roman" w:hAnsi="Times New Roman"/>
          <w:color w:val="000000"/>
          <w:sz w:val="28"/>
          <w:szCs w:val="28"/>
        </w:rPr>
        <w:t>За 5 лет студентами самостоятельно и в соавторстве с сотрудника</w:t>
      </w:r>
      <w:r w:rsidR="00765279">
        <w:rPr>
          <w:rFonts w:ascii="Times New Roman" w:hAnsi="Times New Roman"/>
          <w:color w:val="000000"/>
          <w:sz w:val="28"/>
          <w:szCs w:val="28"/>
        </w:rPr>
        <w:t>ми кафедры подгот</w:t>
      </w:r>
      <w:r w:rsidR="00B136EF">
        <w:rPr>
          <w:rFonts w:ascii="Times New Roman" w:hAnsi="Times New Roman"/>
          <w:color w:val="000000"/>
          <w:sz w:val="28"/>
          <w:szCs w:val="28"/>
        </w:rPr>
        <w:t>овлено 6</w:t>
      </w:r>
      <w:r w:rsidR="00765279">
        <w:rPr>
          <w:rFonts w:ascii="Times New Roman" w:hAnsi="Times New Roman"/>
          <w:color w:val="000000"/>
          <w:sz w:val="28"/>
          <w:szCs w:val="28"/>
        </w:rPr>
        <w:t xml:space="preserve">0 научных докладов по </w:t>
      </w:r>
      <w:r w:rsidR="00F4210F">
        <w:rPr>
          <w:rFonts w:ascii="Times New Roman" w:hAnsi="Times New Roman"/>
          <w:color w:val="000000"/>
          <w:sz w:val="28"/>
          <w:szCs w:val="28"/>
        </w:rPr>
        <w:t xml:space="preserve">научным </w:t>
      </w:r>
      <w:r w:rsidR="00765279">
        <w:rPr>
          <w:rFonts w:ascii="Times New Roman" w:hAnsi="Times New Roman"/>
          <w:color w:val="000000"/>
          <w:sz w:val="28"/>
          <w:szCs w:val="28"/>
        </w:rPr>
        <w:lastRenderedPageBreak/>
        <w:t>тематика</w:t>
      </w:r>
      <w:r w:rsidR="00B136EF">
        <w:rPr>
          <w:rFonts w:ascii="Times New Roman" w:hAnsi="Times New Roman"/>
          <w:color w:val="000000"/>
          <w:sz w:val="28"/>
          <w:szCs w:val="28"/>
        </w:rPr>
        <w:t>м</w:t>
      </w:r>
      <w:r w:rsidR="00A20DDD">
        <w:rPr>
          <w:rFonts w:ascii="Times New Roman" w:hAnsi="Times New Roman"/>
          <w:color w:val="000000"/>
          <w:sz w:val="28"/>
          <w:szCs w:val="28"/>
        </w:rPr>
        <w:t xml:space="preserve"> кафедры, опубликовано </w:t>
      </w:r>
      <w:r w:rsidR="00B136EF">
        <w:rPr>
          <w:rFonts w:ascii="Times New Roman" w:hAnsi="Times New Roman"/>
          <w:color w:val="000000"/>
          <w:sz w:val="28"/>
          <w:szCs w:val="28"/>
        </w:rPr>
        <w:t xml:space="preserve"> 36</w:t>
      </w:r>
      <w:r w:rsidR="00C316C7" w:rsidRPr="00C316C7">
        <w:rPr>
          <w:rFonts w:ascii="Times New Roman" w:hAnsi="Times New Roman"/>
          <w:color w:val="000000"/>
          <w:sz w:val="28"/>
          <w:szCs w:val="28"/>
        </w:rPr>
        <w:t xml:space="preserve"> научных статей. </w:t>
      </w:r>
      <w:r w:rsidR="00F4210F">
        <w:rPr>
          <w:rFonts w:ascii="Times New Roman" w:hAnsi="Times New Roman"/>
          <w:bCs/>
          <w:sz w:val="28"/>
          <w:szCs w:val="28"/>
        </w:rPr>
        <w:t>За отчетный период с</w:t>
      </w:r>
      <w:r w:rsidR="00C316C7" w:rsidRPr="00C316C7">
        <w:rPr>
          <w:rFonts w:ascii="Times New Roman" w:hAnsi="Times New Roman"/>
          <w:bCs/>
          <w:sz w:val="28"/>
          <w:szCs w:val="28"/>
        </w:rPr>
        <w:t xml:space="preserve">туденты участвовали в </w:t>
      </w:r>
      <w:r w:rsidR="00C316C7" w:rsidRPr="00C316C7">
        <w:rPr>
          <w:rFonts w:ascii="Times New Roman" w:hAnsi="Times New Roman"/>
          <w:color w:val="000000"/>
          <w:sz w:val="28"/>
          <w:szCs w:val="28"/>
        </w:rPr>
        <w:t xml:space="preserve">конкурсах, </w:t>
      </w:r>
      <w:r w:rsidR="00765279">
        <w:rPr>
          <w:rFonts w:ascii="Times New Roman" w:hAnsi="Times New Roman"/>
          <w:color w:val="000000"/>
          <w:sz w:val="28"/>
          <w:szCs w:val="28"/>
        </w:rPr>
        <w:t xml:space="preserve">научных </w:t>
      </w:r>
      <w:r w:rsidR="00C316C7" w:rsidRPr="00C316C7">
        <w:rPr>
          <w:rFonts w:ascii="Times New Roman" w:hAnsi="Times New Roman"/>
          <w:color w:val="000000"/>
          <w:sz w:val="28"/>
          <w:szCs w:val="28"/>
        </w:rPr>
        <w:t>конференци</w:t>
      </w:r>
      <w:r w:rsidR="00765279">
        <w:rPr>
          <w:rFonts w:ascii="Times New Roman" w:hAnsi="Times New Roman"/>
          <w:color w:val="000000"/>
          <w:sz w:val="28"/>
          <w:szCs w:val="28"/>
        </w:rPr>
        <w:t xml:space="preserve">ях, </w:t>
      </w:r>
      <w:r w:rsidR="00F4210F" w:rsidRPr="00C316C7">
        <w:rPr>
          <w:rFonts w:ascii="Times New Roman" w:hAnsi="Times New Roman"/>
          <w:color w:val="000000"/>
          <w:sz w:val="28"/>
          <w:szCs w:val="28"/>
        </w:rPr>
        <w:t>ун</w:t>
      </w:r>
      <w:r w:rsidR="00542B98">
        <w:rPr>
          <w:rFonts w:ascii="Times New Roman" w:hAnsi="Times New Roman"/>
          <w:color w:val="000000"/>
          <w:sz w:val="28"/>
          <w:szCs w:val="28"/>
        </w:rPr>
        <w:t xml:space="preserve">иверситетского, областного </w:t>
      </w:r>
      <w:r w:rsidR="00F4210F">
        <w:rPr>
          <w:rFonts w:ascii="Times New Roman" w:hAnsi="Times New Roman"/>
          <w:color w:val="000000"/>
          <w:sz w:val="28"/>
          <w:szCs w:val="28"/>
        </w:rPr>
        <w:t>и всероссийского</w:t>
      </w:r>
      <w:r w:rsidR="00C316C7" w:rsidRPr="00C316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279">
        <w:rPr>
          <w:rFonts w:ascii="Times New Roman" w:hAnsi="Times New Roman"/>
          <w:color w:val="000000"/>
          <w:sz w:val="28"/>
          <w:szCs w:val="28"/>
        </w:rPr>
        <w:t>уровней</w:t>
      </w:r>
      <w:r w:rsidR="00C316C7" w:rsidRPr="00C316C7">
        <w:rPr>
          <w:rFonts w:ascii="Times New Roman" w:hAnsi="Times New Roman"/>
          <w:color w:val="000000"/>
          <w:sz w:val="28"/>
          <w:szCs w:val="28"/>
        </w:rPr>
        <w:t>.</w:t>
      </w:r>
    </w:p>
    <w:p w:rsidR="00765279" w:rsidRPr="00A20DDD" w:rsidRDefault="003E657A" w:rsidP="00765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DD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65279" w:rsidRPr="00A20DDD">
        <w:rPr>
          <w:rFonts w:ascii="Times New Roman" w:hAnsi="Times New Roman" w:cs="Times New Roman"/>
          <w:color w:val="000000"/>
          <w:sz w:val="28"/>
          <w:szCs w:val="28"/>
        </w:rPr>
        <w:t xml:space="preserve">. Воспитательная работа на кафедре организована в соответствии с концепцией </w:t>
      </w:r>
      <w:r w:rsidR="00A20DDD">
        <w:rPr>
          <w:rFonts w:ascii="Times New Roman" w:hAnsi="Times New Roman"/>
          <w:sz w:val="28"/>
          <w:szCs w:val="28"/>
          <w:lang w:eastAsia="ru-RU"/>
        </w:rPr>
        <w:t>Молодежной политики и воспитательной</w:t>
      </w:r>
      <w:r w:rsidR="00A20DDD" w:rsidRPr="00A20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DDD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A20DDD" w:rsidRPr="00A20DDD">
        <w:rPr>
          <w:rFonts w:ascii="Times New Roman" w:hAnsi="Times New Roman" w:cs="Times New Roman"/>
          <w:sz w:val="28"/>
          <w:szCs w:val="28"/>
        </w:rPr>
        <w:t xml:space="preserve"> </w:t>
      </w:r>
      <w:r w:rsidR="00765279" w:rsidRPr="00A20DDD">
        <w:rPr>
          <w:rFonts w:ascii="Times New Roman" w:hAnsi="Times New Roman" w:cs="Times New Roman"/>
          <w:sz w:val="28"/>
          <w:szCs w:val="28"/>
        </w:rPr>
        <w:t>университета</w:t>
      </w:r>
      <w:r w:rsidR="00A20DDD">
        <w:rPr>
          <w:rFonts w:ascii="Times New Roman" w:hAnsi="Times New Roman" w:cs="Times New Roman"/>
          <w:color w:val="000000"/>
          <w:sz w:val="28"/>
          <w:szCs w:val="28"/>
        </w:rPr>
        <w:t xml:space="preserve">, с планами </w:t>
      </w:r>
      <w:r w:rsidR="00B136EF" w:rsidRPr="00A20DDD">
        <w:rPr>
          <w:rFonts w:ascii="Times New Roman" w:hAnsi="Times New Roman" w:cs="Times New Roman"/>
          <w:color w:val="000000"/>
          <w:sz w:val="28"/>
          <w:szCs w:val="28"/>
        </w:rPr>
        <w:t xml:space="preserve">работы института и кафедры. При этом </w:t>
      </w:r>
      <w:r w:rsidR="00A20D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B136EF" w:rsidRPr="00A20DDD">
        <w:rPr>
          <w:rFonts w:ascii="Times New Roman" w:hAnsi="Times New Roman" w:cs="Times New Roman"/>
          <w:color w:val="000000"/>
          <w:sz w:val="28"/>
          <w:szCs w:val="28"/>
        </w:rPr>
        <w:t>5 преподавателей</w:t>
      </w:r>
      <w:r w:rsidR="00765279" w:rsidRPr="00A20DDD">
        <w:rPr>
          <w:rFonts w:ascii="Times New Roman" w:hAnsi="Times New Roman" w:cs="Times New Roman"/>
          <w:color w:val="000000"/>
          <w:sz w:val="28"/>
          <w:szCs w:val="28"/>
        </w:rPr>
        <w:t xml:space="preserve"> кафедры являются кураторами 5 групп студентов</w:t>
      </w:r>
      <w:r w:rsidR="00B136EF" w:rsidRPr="00A20DDD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отдельную группу </w:t>
      </w:r>
      <w:r w:rsidR="00A20DDD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B136EF" w:rsidRPr="00A20DDD">
        <w:rPr>
          <w:rFonts w:ascii="Times New Roman" w:hAnsi="Times New Roman" w:cs="Times New Roman"/>
          <w:color w:val="000000"/>
          <w:sz w:val="28"/>
          <w:szCs w:val="28"/>
        </w:rPr>
        <w:t>иностранцев</w:t>
      </w:r>
      <w:r w:rsidR="006E373B" w:rsidRPr="00A20DDD">
        <w:rPr>
          <w:rFonts w:ascii="Times New Roman" w:hAnsi="Times New Roman" w:cs="Times New Roman"/>
          <w:color w:val="000000"/>
          <w:sz w:val="28"/>
          <w:szCs w:val="28"/>
        </w:rPr>
        <w:t xml:space="preserve"> из КНДР</w:t>
      </w:r>
      <w:r w:rsidR="00765279" w:rsidRPr="00A20D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279" w:rsidRDefault="003E657A" w:rsidP="00DC3EB4">
      <w:pPr>
        <w:tabs>
          <w:tab w:val="left" w:pos="952"/>
        </w:tabs>
        <w:spacing w:after="0" w:line="240" w:lineRule="auto"/>
        <w:ind w:firstLine="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652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5279" w:rsidRPr="007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2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5279" w:rsidRPr="0076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рофориентационная работа проводится в рамках университетских</w:t>
      </w:r>
      <w:r w:rsidR="00857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5279" w:rsidRPr="0076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областных мероприятий </w:t>
      </w:r>
      <w:r w:rsidR="00F42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включая:</w:t>
      </w:r>
    </w:p>
    <w:p w:rsidR="00F4210F" w:rsidRDefault="00F4210F" w:rsidP="00DC3EB4">
      <w:pPr>
        <w:tabs>
          <w:tab w:val="left" w:pos="952"/>
        </w:tabs>
        <w:spacing w:after="0" w:line="240" w:lineRule="auto"/>
        <w:ind w:firstLine="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систему педагогических практик;</w:t>
      </w:r>
    </w:p>
    <w:p w:rsidR="00F4210F" w:rsidRDefault="00F4210F" w:rsidP="00DC3EB4">
      <w:pPr>
        <w:tabs>
          <w:tab w:val="left" w:pos="952"/>
        </w:tabs>
        <w:spacing w:after="0" w:line="240" w:lineRule="auto"/>
        <w:ind w:firstLine="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 проведение «Дней открытых дверей»;</w:t>
      </w:r>
    </w:p>
    <w:p w:rsidR="00F4210F" w:rsidRDefault="00F4210F" w:rsidP="00DC3EB4">
      <w:pPr>
        <w:tabs>
          <w:tab w:val="left" w:pos="952"/>
        </w:tabs>
        <w:spacing w:after="0" w:line="240" w:lineRule="auto"/>
        <w:ind w:firstLine="9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210F">
        <w:rPr>
          <w:rFonts w:ascii="Times New Roman" w:eastAsia="Times New Roman" w:hAnsi="Times New Roman" w:cs="Times New Roman"/>
          <w:sz w:val="28"/>
          <w:szCs w:val="28"/>
        </w:rPr>
        <w:t>встречи с родителями и  выпускниками на территориях образовательных и спортивных учреждений города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ензы и </w:t>
      </w:r>
      <w:r w:rsidR="003C46BE">
        <w:rPr>
          <w:rFonts w:ascii="Times New Roman" w:eastAsia="Times New Roman" w:hAnsi="Times New Roman" w:cs="Times New Roman"/>
          <w:sz w:val="28"/>
          <w:szCs w:val="28"/>
        </w:rPr>
        <w:t xml:space="preserve">Пензенской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области;</w:t>
      </w:r>
    </w:p>
    <w:p w:rsidR="00F4210F" w:rsidRDefault="00F4210F" w:rsidP="00DC3EB4">
      <w:pPr>
        <w:tabs>
          <w:tab w:val="left" w:pos="952"/>
        </w:tabs>
        <w:spacing w:after="0" w:line="240" w:lineRule="auto"/>
        <w:ind w:firstLine="9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1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210F">
        <w:rPr>
          <w:rFonts w:ascii="Times New Roman" w:eastAsia="Calibri" w:hAnsi="Times New Roman" w:cs="Times New Roman"/>
          <w:sz w:val="28"/>
          <w:szCs w:val="28"/>
        </w:rPr>
        <w:t xml:space="preserve"> встречи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студентов</w:t>
      </w:r>
      <w:r w:rsidRPr="00F4210F">
        <w:rPr>
          <w:rFonts w:ascii="Times New Roman" w:eastAsia="Calibri" w:hAnsi="Times New Roman" w:cs="Times New Roman"/>
          <w:sz w:val="28"/>
          <w:szCs w:val="28"/>
        </w:rPr>
        <w:t xml:space="preserve"> с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потенциальными </w:t>
      </w:r>
      <w:r w:rsidRPr="00F4210F">
        <w:rPr>
          <w:rFonts w:ascii="Times New Roman" w:eastAsia="Calibri" w:hAnsi="Times New Roman" w:cs="Times New Roman"/>
          <w:sz w:val="28"/>
          <w:szCs w:val="28"/>
        </w:rPr>
        <w:t>работодателями</w:t>
      </w:r>
      <w:r w:rsidR="00DC3E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373B" w:rsidRPr="006E373B" w:rsidRDefault="006E373B" w:rsidP="006E373B">
      <w:pPr>
        <w:tabs>
          <w:tab w:val="left" w:pos="952"/>
        </w:tabs>
        <w:spacing w:after="0" w:line="240" w:lineRule="auto"/>
        <w:ind w:firstLine="9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73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373B">
        <w:rPr>
          <w:rFonts w:ascii="Times New Roman" w:hAnsi="Times New Roman" w:cs="Times New Roman"/>
          <w:sz w:val="28"/>
          <w:szCs w:val="28"/>
        </w:rPr>
        <w:t>проведение открытых лекций профессиональной направленности</w:t>
      </w:r>
      <w:r w:rsidRPr="006E3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73B">
        <w:rPr>
          <w:rFonts w:ascii="Times New Roman" w:hAnsi="Times New Roman" w:cs="Times New Roman"/>
          <w:sz w:val="28"/>
          <w:szCs w:val="28"/>
        </w:rPr>
        <w:t>на территориях и базах, как образовательных, спортивных, так и культурно-просветительских учреждений</w:t>
      </w:r>
      <w:r w:rsidRPr="006E373B">
        <w:rPr>
          <w:rFonts w:ascii="Times New Roman" w:eastAsia="Times New Roman" w:hAnsi="Times New Roman" w:cs="Times New Roman"/>
          <w:sz w:val="28"/>
          <w:szCs w:val="28"/>
        </w:rPr>
        <w:t xml:space="preserve"> города Пензы и Пензенской области;</w:t>
      </w:r>
    </w:p>
    <w:p w:rsidR="003E657A" w:rsidRDefault="00DC3EB4" w:rsidP="00DC3EB4">
      <w:pPr>
        <w:tabs>
          <w:tab w:val="left" w:pos="952"/>
        </w:tabs>
        <w:spacing w:after="0" w:line="240" w:lineRule="auto"/>
        <w:ind w:firstLine="9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выездные презентации по районам Пензенской области</w:t>
      </w:r>
      <w:r w:rsidR="003E65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3EB4" w:rsidRDefault="004A1F89" w:rsidP="00DC3EB4">
      <w:pPr>
        <w:tabs>
          <w:tab w:val="left" w:pos="952"/>
        </w:tabs>
        <w:spacing w:after="0" w:line="240" w:lineRule="auto"/>
        <w:ind w:firstLine="9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E03">
        <w:rPr>
          <w:rFonts w:ascii="Times New Roman" w:eastAsia="Calibri" w:hAnsi="Times New Roman" w:cs="Times New Roman"/>
          <w:sz w:val="28"/>
          <w:szCs w:val="28"/>
        </w:rPr>
        <w:t>ежегодные «Я</w:t>
      </w:r>
      <w:r w:rsidR="003E657A">
        <w:rPr>
          <w:rFonts w:ascii="Times New Roman" w:eastAsia="Calibri" w:hAnsi="Times New Roman" w:cs="Times New Roman"/>
          <w:sz w:val="28"/>
          <w:szCs w:val="28"/>
        </w:rPr>
        <w:t>рмарки вакансий</w:t>
      </w:r>
      <w:r w:rsidR="00517E03">
        <w:rPr>
          <w:rFonts w:ascii="Times New Roman" w:eastAsia="Calibri" w:hAnsi="Times New Roman" w:cs="Times New Roman"/>
          <w:sz w:val="28"/>
          <w:szCs w:val="28"/>
        </w:rPr>
        <w:t>»</w:t>
      </w:r>
      <w:r w:rsidR="0020390B">
        <w:rPr>
          <w:rFonts w:ascii="Times New Roman" w:eastAsia="Calibri" w:hAnsi="Times New Roman" w:cs="Times New Roman"/>
          <w:sz w:val="28"/>
          <w:szCs w:val="28"/>
        </w:rPr>
        <w:t xml:space="preserve"> по видам спортивных специализа</w:t>
      </w:r>
      <w:r w:rsidR="00517E03">
        <w:rPr>
          <w:rFonts w:ascii="Times New Roman" w:eastAsia="Calibri" w:hAnsi="Times New Roman" w:cs="Times New Roman"/>
          <w:sz w:val="28"/>
          <w:szCs w:val="28"/>
        </w:rPr>
        <w:t>ций</w:t>
      </w:r>
      <w:r w:rsidR="003E6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EB4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3E657A" w:rsidRPr="00FE185A" w:rsidRDefault="003E657A" w:rsidP="00542B98">
      <w:pPr>
        <w:tabs>
          <w:tab w:val="left" w:pos="952"/>
        </w:tabs>
        <w:spacing w:after="0" w:line="240" w:lineRule="auto"/>
        <w:ind w:firstLine="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5A">
        <w:rPr>
          <w:rFonts w:ascii="Times New Roman" w:eastAsia="Calibri" w:hAnsi="Times New Roman" w:cs="Times New Roman"/>
          <w:sz w:val="28"/>
          <w:szCs w:val="28"/>
        </w:rPr>
        <w:t>12</w:t>
      </w:r>
      <w:r w:rsidR="00DC3EB4" w:rsidRPr="00FE185A">
        <w:rPr>
          <w:rFonts w:ascii="Times New Roman" w:eastAsia="Calibri" w:hAnsi="Times New Roman" w:cs="Times New Roman"/>
          <w:sz w:val="28"/>
          <w:szCs w:val="28"/>
        </w:rPr>
        <w:t xml:space="preserve">. Кафедра </w:t>
      </w:r>
      <w:r w:rsidR="00DC3EB4" w:rsidRPr="00FE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 должное внимание и трудоустройству </w:t>
      </w:r>
      <w:r w:rsidR="005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EB4" w:rsidRPr="00FE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выпускников, которое </w:t>
      </w:r>
      <w:r w:rsidR="00517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="00054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отчетные 2022-2024 гг.</w:t>
      </w:r>
      <w:r w:rsidR="005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</w:t>
      </w:r>
      <w:r w:rsidR="00B136EF" w:rsidRPr="00FE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7</w:t>
      </w:r>
      <w:r w:rsidR="003C46BE" w:rsidRPr="00FE18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36EF" w:rsidRPr="00FE185A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3C46BE" w:rsidRPr="00FE185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54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продолжают свое обучение</w:t>
      </w:r>
      <w:r w:rsidR="002039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числа выпускников</w:t>
      </w:r>
      <w:r w:rsidR="0005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</w:t>
      </w:r>
      <w:r w:rsidR="000542E5" w:rsidRPr="00FE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различного типа  по </w:t>
      </w:r>
      <w:r w:rsidR="0005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выбранному </w:t>
      </w:r>
      <w:r w:rsidR="000542E5" w:rsidRPr="00FE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профилю подготовки</w:t>
      </w:r>
      <w:r w:rsidR="0005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20%, не нуждаются в трудоустройстве 5%.</w:t>
      </w:r>
    </w:p>
    <w:p w:rsidR="00765279" w:rsidRPr="00FE185A" w:rsidRDefault="003E657A" w:rsidP="00FE185A">
      <w:pPr>
        <w:tabs>
          <w:tab w:val="left" w:pos="952"/>
        </w:tabs>
        <w:spacing w:after="0" w:line="240" w:lineRule="auto"/>
        <w:ind w:firstLine="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Ученый совет отмечает следующие </w:t>
      </w:r>
      <w:r w:rsidR="0000182F" w:rsidRPr="00FE1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</w:t>
      </w:r>
      <w:r w:rsidRPr="00FE18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657A" w:rsidRPr="00FE185A" w:rsidRDefault="003E657A" w:rsidP="00FE185A">
      <w:pPr>
        <w:numPr>
          <w:ilvl w:val="0"/>
          <w:numId w:val="4"/>
        </w:numPr>
        <w:tabs>
          <w:tab w:val="left" w:pos="952"/>
        </w:tabs>
        <w:spacing w:after="0" w:line="240" w:lineRule="auto"/>
        <w:ind w:left="0" w:firstLine="953"/>
        <w:contextualSpacing/>
        <w:jc w:val="both"/>
        <w:rPr>
          <w:rFonts w:ascii="Times New Roman" w:hAnsi="Times New Roman"/>
          <w:sz w:val="28"/>
          <w:szCs w:val="28"/>
        </w:rPr>
      </w:pPr>
      <w:r w:rsidRPr="00FE185A">
        <w:rPr>
          <w:rFonts w:ascii="Times New Roman" w:hAnsi="Times New Roman"/>
          <w:sz w:val="28"/>
          <w:szCs w:val="28"/>
        </w:rPr>
        <w:t xml:space="preserve">недостаточная публикационная активность в </w:t>
      </w:r>
      <w:r w:rsidRPr="00FE185A">
        <w:rPr>
          <w:rFonts w:ascii="Times New Roman" w:hAnsi="Times New Roman"/>
          <w:bCs/>
          <w:sz w:val="28"/>
          <w:szCs w:val="28"/>
        </w:rPr>
        <w:t>журналах</w:t>
      </w:r>
      <w:r w:rsidR="00D173F9" w:rsidRPr="00FE185A">
        <w:rPr>
          <w:rFonts w:ascii="Times New Roman" w:hAnsi="Times New Roman"/>
          <w:bCs/>
          <w:sz w:val="28"/>
          <w:szCs w:val="28"/>
        </w:rPr>
        <w:t xml:space="preserve"> рекомендуемых ВАК</w:t>
      </w:r>
      <w:r w:rsidRPr="00FE185A">
        <w:rPr>
          <w:rFonts w:ascii="Times New Roman" w:hAnsi="Times New Roman"/>
          <w:bCs/>
          <w:sz w:val="28"/>
          <w:szCs w:val="28"/>
        </w:rPr>
        <w:t>, входящих</w:t>
      </w:r>
      <w:r w:rsidRPr="00FE18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185A">
        <w:rPr>
          <w:rFonts w:ascii="Times New Roman" w:hAnsi="Times New Roman"/>
          <w:bCs/>
          <w:sz w:val="28"/>
          <w:szCs w:val="28"/>
        </w:rPr>
        <w:t xml:space="preserve">в базы данных </w:t>
      </w:r>
      <w:proofErr w:type="spellStart"/>
      <w:r w:rsidR="00DE5147" w:rsidRPr="00FE185A">
        <w:rPr>
          <w:rFonts w:ascii="Times New Roman" w:hAnsi="Times New Roman"/>
          <w:sz w:val="28"/>
          <w:szCs w:val="28"/>
        </w:rPr>
        <w:t>Scopus</w:t>
      </w:r>
      <w:proofErr w:type="spellEnd"/>
      <w:r w:rsidR="00517E03">
        <w:rPr>
          <w:rFonts w:ascii="Times New Roman" w:hAnsi="Times New Roman" w:cs="Times New Roman"/>
          <w:sz w:val="28"/>
          <w:szCs w:val="28"/>
        </w:rPr>
        <w:t xml:space="preserve">, RSCI и </w:t>
      </w:r>
      <w:r w:rsidR="00DE5147" w:rsidRPr="00FE185A">
        <w:rPr>
          <w:rFonts w:ascii="Times New Roman" w:hAnsi="Times New Roman" w:cs="Times New Roman"/>
          <w:sz w:val="28"/>
          <w:szCs w:val="28"/>
        </w:rPr>
        <w:t>ядро РИНЦ</w:t>
      </w:r>
      <w:r w:rsidRPr="00FE185A">
        <w:rPr>
          <w:rFonts w:ascii="Times New Roman" w:hAnsi="Times New Roman"/>
          <w:sz w:val="28"/>
          <w:szCs w:val="28"/>
        </w:rPr>
        <w:t>;</w:t>
      </w:r>
    </w:p>
    <w:p w:rsidR="003E657A" w:rsidRPr="00FE185A" w:rsidRDefault="003E657A" w:rsidP="00FE185A">
      <w:pPr>
        <w:numPr>
          <w:ilvl w:val="0"/>
          <w:numId w:val="4"/>
        </w:numPr>
        <w:tabs>
          <w:tab w:val="left" w:pos="952"/>
        </w:tabs>
        <w:spacing w:after="0" w:line="240" w:lineRule="auto"/>
        <w:ind w:left="0" w:firstLine="953"/>
        <w:contextualSpacing/>
        <w:jc w:val="both"/>
        <w:rPr>
          <w:rFonts w:ascii="Times New Roman" w:hAnsi="Times New Roman"/>
          <w:sz w:val="28"/>
          <w:szCs w:val="28"/>
        </w:rPr>
      </w:pPr>
      <w:r w:rsidRPr="00FE185A">
        <w:rPr>
          <w:rFonts w:ascii="Times New Roman" w:hAnsi="Times New Roman"/>
          <w:sz w:val="28"/>
          <w:szCs w:val="28"/>
        </w:rPr>
        <w:t>объем НИР на 1 НПР не соответствует критериальным значениям, установленным Министерством науки и высшего образования, университетом</w:t>
      </w:r>
      <w:r w:rsidR="00FE185A" w:rsidRPr="00FE185A">
        <w:rPr>
          <w:rFonts w:ascii="Times New Roman" w:hAnsi="Times New Roman"/>
          <w:sz w:val="28"/>
          <w:szCs w:val="28"/>
        </w:rPr>
        <w:t>;</w:t>
      </w:r>
    </w:p>
    <w:p w:rsidR="00FE185A" w:rsidRPr="00FE185A" w:rsidRDefault="00FE185A" w:rsidP="00FE185A">
      <w:pPr>
        <w:tabs>
          <w:tab w:val="left" w:pos="952"/>
        </w:tabs>
        <w:spacing w:after="0" w:line="240" w:lineRule="auto"/>
        <w:ind w:firstLine="953"/>
        <w:contextualSpacing/>
        <w:jc w:val="both"/>
        <w:rPr>
          <w:rFonts w:ascii="Times New Roman" w:hAnsi="Times New Roman"/>
          <w:sz w:val="28"/>
          <w:szCs w:val="28"/>
        </w:rPr>
      </w:pPr>
      <w:r w:rsidRPr="00FE185A">
        <w:rPr>
          <w:rFonts w:ascii="Times New Roman" w:hAnsi="Times New Roman"/>
          <w:sz w:val="28"/>
          <w:szCs w:val="28"/>
        </w:rPr>
        <w:t>- недостаточная активность</w:t>
      </w:r>
      <w:r w:rsidRPr="00FE185A">
        <w:rPr>
          <w:rFonts w:ascii="Times New Roman" w:hAnsi="Times New Roman" w:cs="Times New Roman"/>
          <w:sz w:val="28"/>
          <w:szCs w:val="28"/>
        </w:rPr>
        <w:t xml:space="preserve"> в направлениях подачи заявок на участие в грантовых конкурсах, а также выполнения научно-исследовательских работ, финансируемых из различных источников.</w:t>
      </w:r>
      <w:r w:rsidRPr="00FE185A">
        <w:rPr>
          <w:rFonts w:ascii="Times New Roman" w:hAnsi="Times New Roman"/>
          <w:sz w:val="28"/>
          <w:szCs w:val="28"/>
        </w:rPr>
        <w:t xml:space="preserve"> </w:t>
      </w:r>
    </w:p>
    <w:p w:rsidR="003E657A" w:rsidRPr="00FE185A" w:rsidRDefault="003E657A" w:rsidP="00FE185A">
      <w:pPr>
        <w:spacing w:after="0" w:line="240" w:lineRule="auto"/>
        <w:ind w:firstLine="953"/>
        <w:jc w:val="both"/>
        <w:rPr>
          <w:rFonts w:ascii="Times New Roman" w:hAnsi="Times New Roman"/>
          <w:sz w:val="28"/>
          <w:szCs w:val="28"/>
        </w:rPr>
      </w:pPr>
    </w:p>
    <w:p w:rsidR="003E657A" w:rsidRDefault="003E657A" w:rsidP="003E657A">
      <w:pPr>
        <w:spacing w:after="0" w:line="23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3E657A">
        <w:rPr>
          <w:rFonts w:ascii="Times New Roman" w:hAnsi="Times New Roman"/>
          <w:sz w:val="28"/>
          <w:szCs w:val="28"/>
        </w:rPr>
        <w:t>На основании изложенного Ученый совет университета</w:t>
      </w:r>
    </w:p>
    <w:p w:rsidR="003E657A" w:rsidRPr="003E657A" w:rsidRDefault="003E657A" w:rsidP="003E657A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57A" w:rsidRPr="003E657A" w:rsidRDefault="003E657A" w:rsidP="003E657A">
      <w:pPr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  <w:r w:rsidRPr="003E657A">
        <w:rPr>
          <w:rFonts w:ascii="Times New Roman" w:hAnsi="Times New Roman"/>
          <w:b/>
          <w:sz w:val="28"/>
          <w:szCs w:val="28"/>
        </w:rPr>
        <w:t>ПОСТАНОВИЛ</w:t>
      </w:r>
      <w:r w:rsidRPr="003E657A">
        <w:rPr>
          <w:rFonts w:ascii="Times New Roman" w:hAnsi="Times New Roman"/>
          <w:sz w:val="28"/>
          <w:szCs w:val="28"/>
        </w:rPr>
        <w:t>:</w:t>
      </w:r>
    </w:p>
    <w:p w:rsidR="003E657A" w:rsidRPr="00FE185A" w:rsidRDefault="00491728" w:rsidP="00FE1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85A">
        <w:rPr>
          <w:rFonts w:ascii="Times New Roman" w:hAnsi="Times New Roman" w:cs="Times New Roman"/>
          <w:sz w:val="28"/>
          <w:szCs w:val="28"/>
        </w:rPr>
        <w:t xml:space="preserve">1. </w:t>
      </w:r>
      <w:r w:rsidR="003E657A" w:rsidRPr="00FE185A">
        <w:rPr>
          <w:rFonts w:ascii="Times New Roman" w:hAnsi="Times New Roman" w:cs="Times New Roman"/>
          <w:sz w:val="28"/>
          <w:szCs w:val="28"/>
        </w:rPr>
        <w:t>Признать работу кафедры «Циклические в</w:t>
      </w:r>
      <w:r w:rsidR="000620E5">
        <w:rPr>
          <w:rFonts w:ascii="Times New Roman" w:hAnsi="Times New Roman" w:cs="Times New Roman"/>
          <w:sz w:val="28"/>
          <w:szCs w:val="28"/>
        </w:rPr>
        <w:t>иды спорта» удовлетворительной и утвердить Программу развития кафедры, изложенную Ивановым А.Н.</w:t>
      </w:r>
    </w:p>
    <w:p w:rsidR="003E657A" w:rsidRPr="00FE185A" w:rsidRDefault="00491728" w:rsidP="00FE1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85A">
        <w:rPr>
          <w:rFonts w:ascii="Times New Roman" w:hAnsi="Times New Roman" w:cs="Times New Roman"/>
          <w:sz w:val="28"/>
          <w:szCs w:val="28"/>
        </w:rPr>
        <w:t xml:space="preserve">2. </w:t>
      </w:r>
      <w:r w:rsidR="003E657A" w:rsidRPr="00FE185A">
        <w:rPr>
          <w:rFonts w:ascii="Times New Roman" w:hAnsi="Times New Roman" w:cs="Times New Roman"/>
          <w:sz w:val="28"/>
          <w:szCs w:val="28"/>
        </w:rPr>
        <w:t>Поручить заведующему кафедрой «Циклические виды спорта»:</w:t>
      </w:r>
    </w:p>
    <w:p w:rsidR="006E373B" w:rsidRPr="00FE185A" w:rsidRDefault="006E373B" w:rsidP="00FE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5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185A">
        <w:rPr>
          <w:rFonts w:ascii="Times New Roman" w:hAnsi="Times New Roman" w:cs="Times New Roman"/>
          <w:sz w:val="28"/>
          <w:szCs w:val="28"/>
        </w:rPr>
        <w:t>и</w:t>
      </w:r>
      <w:r w:rsidRPr="00FE185A">
        <w:rPr>
          <w:rFonts w:ascii="Times New Roman" w:hAnsi="Times New Roman" w:cs="Times New Roman"/>
          <w:sz w:val="28"/>
          <w:szCs w:val="28"/>
        </w:rPr>
        <w:t>нтенсифицировать научную деятельность НПР в направлениях подачи заявок на участие в грантовых конкурсах, а также выполнения научно-исследовательских работ, финансируемых из различных источников</w:t>
      </w:r>
      <w:r w:rsidR="00FE185A">
        <w:rPr>
          <w:rFonts w:ascii="Times New Roman" w:hAnsi="Times New Roman" w:cs="Times New Roman"/>
          <w:sz w:val="28"/>
          <w:szCs w:val="28"/>
        </w:rPr>
        <w:t xml:space="preserve"> </w:t>
      </w:r>
      <w:r w:rsidR="00FE185A" w:rsidRPr="00DE5147">
        <w:rPr>
          <w:rFonts w:ascii="Times New Roman" w:hAnsi="Times New Roman"/>
          <w:sz w:val="28"/>
          <w:szCs w:val="28"/>
        </w:rPr>
        <w:t>(</w:t>
      </w:r>
      <w:proofErr w:type="gramStart"/>
      <w:r w:rsidR="00FE185A" w:rsidRPr="00DE5147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FE185A" w:rsidRPr="00DE5147">
        <w:rPr>
          <w:rFonts w:ascii="Times New Roman" w:hAnsi="Times New Roman"/>
          <w:sz w:val="28"/>
          <w:szCs w:val="28"/>
        </w:rPr>
        <w:t>рок исполнения: 2024-2029 гг.);</w:t>
      </w:r>
    </w:p>
    <w:p w:rsidR="006E373B" w:rsidRPr="00FE185A" w:rsidRDefault="00FE185A" w:rsidP="00FE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185A">
        <w:rPr>
          <w:rFonts w:ascii="Times New Roman" w:hAnsi="Times New Roman" w:cs="Times New Roman"/>
          <w:sz w:val="28"/>
          <w:szCs w:val="28"/>
        </w:rPr>
        <w:t>тимулировать развитие партнерских отношений с научными и образовательными организациями в части проведения совместных научных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47">
        <w:rPr>
          <w:rFonts w:ascii="Times New Roman" w:hAnsi="Times New Roman"/>
          <w:sz w:val="28"/>
          <w:szCs w:val="28"/>
        </w:rPr>
        <w:t>(</w:t>
      </w:r>
      <w:proofErr w:type="gramStart"/>
      <w:r w:rsidRPr="00DE5147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DE5147">
        <w:rPr>
          <w:rFonts w:ascii="Times New Roman" w:hAnsi="Times New Roman"/>
          <w:sz w:val="28"/>
          <w:szCs w:val="28"/>
        </w:rPr>
        <w:t>рок исполнения: 2024-2029</w:t>
      </w:r>
      <w:r>
        <w:rPr>
          <w:rFonts w:ascii="Times New Roman" w:hAnsi="Times New Roman"/>
          <w:sz w:val="28"/>
          <w:szCs w:val="28"/>
        </w:rPr>
        <w:t xml:space="preserve"> гг.);</w:t>
      </w:r>
    </w:p>
    <w:p w:rsidR="003E657A" w:rsidRPr="00FE185A" w:rsidRDefault="00491728" w:rsidP="00FE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E185A">
        <w:rPr>
          <w:rFonts w:ascii="Times New Roman" w:hAnsi="Times New Roman" w:cs="Times New Roman"/>
          <w:sz w:val="28"/>
          <w:szCs w:val="28"/>
        </w:rPr>
        <w:t>а</w:t>
      </w:r>
      <w:r w:rsidR="00FE185A" w:rsidRPr="00FE185A">
        <w:rPr>
          <w:rFonts w:ascii="Times New Roman" w:hAnsi="Times New Roman" w:cs="Times New Roman"/>
          <w:sz w:val="28"/>
          <w:szCs w:val="28"/>
        </w:rPr>
        <w:t>ктивизировать научную деятельность НПР в направлении повышения качественного уровня научных публикац</w:t>
      </w:r>
      <w:r w:rsidR="00FE185A">
        <w:rPr>
          <w:rFonts w:ascii="Times New Roman" w:hAnsi="Times New Roman" w:cs="Times New Roman"/>
          <w:sz w:val="28"/>
          <w:szCs w:val="28"/>
        </w:rPr>
        <w:t xml:space="preserve">ий (публикации RSCI, ядро РИНЦ) </w:t>
      </w:r>
      <w:r w:rsidR="00FE185A" w:rsidRPr="00DE5147">
        <w:rPr>
          <w:rFonts w:ascii="Times New Roman" w:hAnsi="Times New Roman"/>
          <w:sz w:val="28"/>
          <w:szCs w:val="28"/>
        </w:rPr>
        <w:t xml:space="preserve"> </w:t>
      </w:r>
      <w:r w:rsidR="003E657A" w:rsidRPr="00DE5147">
        <w:rPr>
          <w:rFonts w:ascii="Times New Roman" w:hAnsi="Times New Roman"/>
          <w:sz w:val="28"/>
          <w:szCs w:val="28"/>
        </w:rPr>
        <w:t>(</w:t>
      </w:r>
      <w:proofErr w:type="gramStart"/>
      <w:r w:rsidR="003E657A" w:rsidRPr="00DE5147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3E657A" w:rsidRPr="00DE5147">
        <w:rPr>
          <w:rFonts w:ascii="Times New Roman" w:hAnsi="Times New Roman"/>
          <w:sz w:val="28"/>
          <w:szCs w:val="28"/>
        </w:rPr>
        <w:t xml:space="preserve">рок </w:t>
      </w:r>
      <w:r w:rsidR="00B136EF" w:rsidRPr="00DE5147">
        <w:rPr>
          <w:rFonts w:ascii="Times New Roman" w:hAnsi="Times New Roman"/>
          <w:sz w:val="28"/>
          <w:szCs w:val="28"/>
        </w:rPr>
        <w:t>исполнения: 2024-2029</w:t>
      </w:r>
      <w:r w:rsidR="003E657A" w:rsidRPr="00DE5147">
        <w:rPr>
          <w:rFonts w:ascii="Times New Roman" w:hAnsi="Times New Roman"/>
          <w:sz w:val="28"/>
          <w:szCs w:val="28"/>
        </w:rPr>
        <w:t xml:space="preserve"> гг.);</w:t>
      </w:r>
    </w:p>
    <w:p w:rsidR="003E657A" w:rsidRDefault="00491728" w:rsidP="004917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E657A" w:rsidRPr="003E657A">
        <w:rPr>
          <w:rFonts w:ascii="Times New Roman" w:hAnsi="Times New Roman"/>
          <w:color w:val="000000"/>
          <w:sz w:val="28"/>
          <w:szCs w:val="28"/>
        </w:rPr>
        <w:t>усилить работу по повышению объемов НИР кафедры, довести фактический показатель объемов НИР на 1 НПР до планового значения (</w:t>
      </w:r>
      <w:proofErr w:type="gramStart"/>
      <w:r w:rsidR="003E657A" w:rsidRPr="003E657A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="002108AA">
        <w:rPr>
          <w:rFonts w:ascii="Times New Roman" w:hAnsi="Times New Roman"/>
          <w:color w:val="000000"/>
          <w:sz w:val="28"/>
          <w:szCs w:val="28"/>
        </w:rPr>
        <w:t xml:space="preserve">рок </w:t>
      </w:r>
      <w:r w:rsidR="00703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6EF">
        <w:rPr>
          <w:rFonts w:ascii="Times New Roman" w:hAnsi="Times New Roman"/>
          <w:color w:val="000000"/>
          <w:sz w:val="28"/>
          <w:szCs w:val="28"/>
        </w:rPr>
        <w:t>исполнения: 2024-2029</w:t>
      </w:r>
      <w:r w:rsidR="003E657A" w:rsidRPr="003E657A">
        <w:rPr>
          <w:rFonts w:ascii="Times New Roman" w:hAnsi="Times New Roman"/>
          <w:color w:val="000000"/>
          <w:sz w:val="28"/>
          <w:szCs w:val="28"/>
        </w:rPr>
        <w:t xml:space="preserve"> гг.);</w:t>
      </w:r>
    </w:p>
    <w:p w:rsidR="003E657A" w:rsidRPr="003E657A" w:rsidRDefault="00491728" w:rsidP="004917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E657A" w:rsidRPr="003E657A">
        <w:rPr>
          <w:rFonts w:ascii="Times New Roman" w:hAnsi="Times New Roman"/>
          <w:color w:val="000000"/>
          <w:sz w:val="28"/>
          <w:szCs w:val="28"/>
        </w:rPr>
        <w:t>усилить работу по кооперации с кафедрами университета при выполнении научных исследований (</w:t>
      </w:r>
      <w:r w:rsidR="003E657A" w:rsidRPr="003E657A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B136EF">
        <w:rPr>
          <w:rFonts w:ascii="Times New Roman" w:hAnsi="Times New Roman"/>
          <w:color w:val="000000"/>
          <w:sz w:val="28"/>
          <w:szCs w:val="28"/>
        </w:rPr>
        <w:t>рок исполнения: 2024-2029</w:t>
      </w:r>
      <w:r w:rsidR="003E657A" w:rsidRPr="003E657A">
        <w:rPr>
          <w:rFonts w:ascii="Times New Roman" w:hAnsi="Times New Roman"/>
          <w:color w:val="000000"/>
          <w:sz w:val="28"/>
          <w:szCs w:val="28"/>
        </w:rPr>
        <w:t xml:space="preserve"> гг.);</w:t>
      </w:r>
      <w:r w:rsidR="00703D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657A" w:rsidRPr="003E657A" w:rsidRDefault="00491728" w:rsidP="00491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5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E657A" w:rsidRPr="003E657A">
        <w:rPr>
          <w:rFonts w:ascii="Times New Roman" w:hAnsi="Times New Roman" w:cs="Times New Roman"/>
          <w:color w:val="000000"/>
          <w:sz w:val="28"/>
          <w:szCs w:val="28"/>
        </w:rPr>
        <w:t>роводить систематический мониторинг новых форм</w:t>
      </w:r>
      <w:r w:rsidR="000620E5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деятельности</w:t>
      </w:r>
      <w:r w:rsidR="00203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E657A" w:rsidRPr="003E657A">
        <w:rPr>
          <w:rFonts w:ascii="Times New Roman" w:hAnsi="Times New Roman" w:cs="Times New Roman"/>
          <w:color w:val="000000"/>
          <w:sz w:val="28"/>
          <w:szCs w:val="28"/>
        </w:rPr>
        <w:t>со студентами</w:t>
      </w:r>
      <w:r w:rsidR="0020390B">
        <w:rPr>
          <w:rFonts w:ascii="Times New Roman" w:hAnsi="Times New Roman" w:cs="Times New Roman"/>
          <w:color w:val="000000"/>
          <w:sz w:val="28"/>
          <w:szCs w:val="28"/>
        </w:rPr>
        <w:t xml:space="preserve"> и магистрантами </w:t>
      </w:r>
      <w:r w:rsidR="003E657A" w:rsidRPr="003E657A">
        <w:rPr>
          <w:rFonts w:ascii="Times New Roman" w:hAnsi="Times New Roman" w:cs="Times New Roman"/>
          <w:color w:val="000000"/>
          <w:sz w:val="28"/>
          <w:szCs w:val="28"/>
        </w:rPr>
        <w:t xml:space="preserve"> для поддержания на высоком уровн</w:t>
      </w:r>
      <w:r w:rsidR="0020390B">
        <w:rPr>
          <w:rFonts w:ascii="Times New Roman" w:hAnsi="Times New Roman" w:cs="Times New Roman"/>
          <w:color w:val="000000"/>
          <w:sz w:val="28"/>
          <w:szCs w:val="28"/>
        </w:rPr>
        <w:t>е воспитательной работы</w:t>
      </w:r>
      <w:r w:rsidR="003E657A">
        <w:rPr>
          <w:rFonts w:ascii="Times New Roman" w:hAnsi="Times New Roman" w:cs="Times New Roman"/>
          <w:color w:val="000000"/>
          <w:sz w:val="28"/>
          <w:szCs w:val="28"/>
        </w:rPr>
        <w:t xml:space="preserve"> кафедры </w:t>
      </w:r>
      <w:r w:rsidR="003E657A">
        <w:rPr>
          <w:rFonts w:ascii="Times New Roman" w:hAnsi="Times New Roman" w:cs="Times New Roman"/>
          <w:sz w:val="28"/>
          <w:szCs w:val="28"/>
        </w:rPr>
        <w:t xml:space="preserve">(срок исполнения: </w:t>
      </w:r>
      <w:r w:rsidR="00B136EF">
        <w:rPr>
          <w:rFonts w:ascii="Times New Roman" w:hAnsi="Times New Roman"/>
          <w:color w:val="000000"/>
          <w:sz w:val="28"/>
          <w:szCs w:val="28"/>
        </w:rPr>
        <w:t>2024-2029</w:t>
      </w:r>
      <w:r w:rsidR="00B136EF" w:rsidRPr="003E65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57A" w:rsidRPr="003E657A">
        <w:rPr>
          <w:rFonts w:ascii="Times New Roman" w:hAnsi="Times New Roman" w:cs="Times New Roman"/>
          <w:sz w:val="28"/>
          <w:szCs w:val="28"/>
        </w:rPr>
        <w:t>учебный год).</w:t>
      </w:r>
    </w:p>
    <w:p w:rsidR="003E657A" w:rsidRPr="003E657A" w:rsidRDefault="003E657A" w:rsidP="00491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57A" w:rsidRPr="003E657A" w:rsidRDefault="003E657A" w:rsidP="003E657A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57A" w:rsidRPr="003E657A" w:rsidRDefault="003E657A" w:rsidP="003E657A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E657A">
        <w:rPr>
          <w:rFonts w:ascii="Times New Roman" w:hAnsi="Times New Roman"/>
          <w:sz w:val="28"/>
          <w:szCs w:val="28"/>
        </w:rPr>
        <w:t xml:space="preserve">Председатель ученого 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3E657A">
        <w:rPr>
          <w:rFonts w:ascii="Times New Roman" w:hAnsi="Times New Roman"/>
          <w:sz w:val="28"/>
          <w:szCs w:val="28"/>
        </w:rPr>
        <w:t>А.Д. Гуляков</w:t>
      </w:r>
    </w:p>
    <w:p w:rsidR="003E657A" w:rsidRPr="003E657A" w:rsidRDefault="003E657A" w:rsidP="003E657A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3E657A" w:rsidRPr="003E657A" w:rsidRDefault="003E657A" w:rsidP="003E657A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3E657A" w:rsidRPr="003E657A" w:rsidRDefault="003E657A" w:rsidP="003E657A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657A">
        <w:rPr>
          <w:rFonts w:ascii="Times New Roman" w:hAnsi="Times New Roman"/>
          <w:sz w:val="28"/>
          <w:szCs w:val="28"/>
        </w:rPr>
        <w:t xml:space="preserve">Ученый секретарь ученого 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3E657A">
        <w:rPr>
          <w:rFonts w:ascii="Times New Roman" w:hAnsi="Times New Roman"/>
          <w:sz w:val="28"/>
          <w:szCs w:val="28"/>
        </w:rPr>
        <w:t>О.С. Дорофеева</w:t>
      </w:r>
    </w:p>
    <w:p w:rsidR="003E657A" w:rsidRPr="003E657A" w:rsidRDefault="003E657A" w:rsidP="003E657A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3E657A" w:rsidRPr="003E657A" w:rsidRDefault="003E657A" w:rsidP="003E657A">
      <w:pPr>
        <w:tabs>
          <w:tab w:val="left" w:pos="952"/>
        </w:tabs>
        <w:spacing w:after="0" w:line="240" w:lineRule="auto"/>
        <w:ind w:left="106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279" w:rsidRPr="00765279" w:rsidRDefault="00765279" w:rsidP="003E657A">
      <w:pPr>
        <w:spacing w:after="0" w:line="240" w:lineRule="auto"/>
        <w:ind w:left="113" w:firstLine="95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279" w:rsidRPr="00C316C7" w:rsidRDefault="00765279" w:rsidP="00C316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ACF" w:rsidRPr="00673A7E" w:rsidRDefault="00A64ACF" w:rsidP="00C316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A7E" w:rsidRPr="00F958D8" w:rsidRDefault="00673A7E" w:rsidP="00673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7E" w:rsidRPr="00673A7E" w:rsidRDefault="00673A7E" w:rsidP="00673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11EA" w:rsidRPr="002F11EA" w:rsidRDefault="002F11EA" w:rsidP="002F11EA">
      <w:pPr>
        <w:spacing w:after="0" w:line="240" w:lineRule="auto"/>
        <w:ind w:firstLine="953"/>
        <w:jc w:val="both"/>
        <w:rPr>
          <w:rFonts w:ascii="Times New Roman" w:hAnsi="Times New Roman"/>
          <w:sz w:val="28"/>
          <w:szCs w:val="28"/>
        </w:rPr>
      </w:pPr>
    </w:p>
    <w:p w:rsidR="0017550D" w:rsidRDefault="0017550D"/>
    <w:sectPr w:rsidR="0017550D" w:rsidSect="00AA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D90"/>
    <w:multiLevelType w:val="hybridMultilevel"/>
    <w:tmpl w:val="98BE42A6"/>
    <w:lvl w:ilvl="0" w:tplc="9E76932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3F259EC"/>
    <w:multiLevelType w:val="hybridMultilevel"/>
    <w:tmpl w:val="DCDA42FE"/>
    <w:lvl w:ilvl="0" w:tplc="3E443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278C4"/>
    <w:multiLevelType w:val="hybridMultilevel"/>
    <w:tmpl w:val="952A05B2"/>
    <w:lvl w:ilvl="0" w:tplc="45E0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05208"/>
    <w:multiLevelType w:val="hybridMultilevel"/>
    <w:tmpl w:val="7876E8DC"/>
    <w:lvl w:ilvl="0" w:tplc="3E443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A0828"/>
    <w:multiLevelType w:val="hybridMultilevel"/>
    <w:tmpl w:val="5896C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9E6DD3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1A3A05"/>
    <w:multiLevelType w:val="hybridMultilevel"/>
    <w:tmpl w:val="5896C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9E6DD3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1F5AD9"/>
    <w:multiLevelType w:val="hybridMultilevel"/>
    <w:tmpl w:val="5896C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9E6DD3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4D8"/>
    <w:rsid w:val="0000182F"/>
    <w:rsid w:val="00016C40"/>
    <w:rsid w:val="000542E5"/>
    <w:rsid w:val="000620E5"/>
    <w:rsid w:val="0009748A"/>
    <w:rsid w:val="0017550D"/>
    <w:rsid w:val="0020390B"/>
    <w:rsid w:val="002108AA"/>
    <w:rsid w:val="002A1AF8"/>
    <w:rsid w:val="002F11EA"/>
    <w:rsid w:val="00360E21"/>
    <w:rsid w:val="003C46BE"/>
    <w:rsid w:val="003E657A"/>
    <w:rsid w:val="00455495"/>
    <w:rsid w:val="00475C42"/>
    <w:rsid w:val="00491728"/>
    <w:rsid w:val="004A1F89"/>
    <w:rsid w:val="004A709B"/>
    <w:rsid w:val="004B3955"/>
    <w:rsid w:val="004E7DFA"/>
    <w:rsid w:val="00517E03"/>
    <w:rsid w:val="0054269D"/>
    <w:rsid w:val="00542B98"/>
    <w:rsid w:val="005B1345"/>
    <w:rsid w:val="00673A7E"/>
    <w:rsid w:val="006B6F8D"/>
    <w:rsid w:val="006D3172"/>
    <w:rsid w:val="006E373B"/>
    <w:rsid w:val="006E4D87"/>
    <w:rsid w:val="00703DCC"/>
    <w:rsid w:val="00725422"/>
    <w:rsid w:val="00765279"/>
    <w:rsid w:val="00765BAF"/>
    <w:rsid w:val="00857853"/>
    <w:rsid w:val="00860642"/>
    <w:rsid w:val="009864D8"/>
    <w:rsid w:val="009A23B2"/>
    <w:rsid w:val="009C611B"/>
    <w:rsid w:val="00A20DDD"/>
    <w:rsid w:val="00A64ACF"/>
    <w:rsid w:val="00A72FF7"/>
    <w:rsid w:val="00A7504A"/>
    <w:rsid w:val="00AA423C"/>
    <w:rsid w:val="00B0720E"/>
    <w:rsid w:val="00B112FE"/>
    <w:rsid w:val="00B136EF"/>
    <w:rsid w:val="00B23ADD"/>
    <w:rsid w:val="00BF7985"/>
    <w:rsid w:val="00C316C7"/>
    <w:rsid w:val="00CA1F47"/>
    <w:rsid w:val="00CF0B25"/>
    <w:rsid w:val="00D173F9"/>
    <w:rsid w:val="00DC3EB4"/>
    <w:rsid w:val="00DE5147"/>
    <w:rsid w:val="00DE619E"/>
    <w:rsid w:val="00DF253B"/>
    <w:rsid w:val="00DF28C4"/>
    <w:rsid w:val="00EC065D"/>
    <w:rsid w:val="00ED7E2E"/>
    <w:rsid w:val="00F141D4"/>
    <w:rsid w:val="00F4210F"/>
    <w:rsid w:val="00F958D8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A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A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User</cp:lastModifiedBy>
  <cp:revision>46</cp:revision>
  <cp:lastPrinted>2024-10-16T07:23:00Z</cp:lastPrinted>
  <dcterms:created xsi:type="dcterms:W3CDTF">2019-10-23T17:34:00Z</dcterms:created>
  <dcterms:modified xsi:type="dcterms:W3CDTF">2024-12-04T11:50:00Z</dcterms:modified>
</cp:coreProperties>
</file>